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Model LODR and insider-trading policies for an SME-listed company</w:t>
      </w:r>
    </w:p>
    <w:p>
      <w:r>
        <w:rPr>
          <w:b w:val="0"/>
          <w:i/>
          <w:color w:val="555555"/>
        </w:rPr>
        <w:t>Seven concise model policies for a company listed (or about to list) on BSE SME or NSE Emerge, under the SEBI (Listing Obligations and Disclosure Requirements) Regulations, 2015 (LODR), the SEBI (Prohibition of Insider Trading) Regulations, 2015 (PIT) and the Companies Act, 2013, as on 6 October 2026.</w:t>
      </w:r>
    </w:p>
    <w:tbl>
      <w:tblPr>
        <w:tblStyle w:val="TableGrid"/>
        <w:tblW w:type="auto" w:w="0"/>
        <w:tblLook w:firstColumn="1" w:firstRow="1" w:lastColumn="0" w:lastRow="0" w:noHBand="0" w:noVBand="1" w:val="04A0"/>
      </w:tblPr>
      <w:tblGrid>
        <w:gridCol w:w="9412"/>
      </w:tblGrid>
      <w:tr>
        <w:tc>
          <w:tcPr>
            <w:tcW w:type="dxa" w:w="9412"/>
            <w:shd w:val="clear" w:color="auto" w:fill="F3F1F9"/>
          </w:tcPr>
          <w:p>
            <w:r/>
            <w:r>
              <w:rPr>
                <w:b/>
                <w:i w:val="0"/>
                <w:color w:val="4B2FA8"/>
              </w:rPr>
              <w:t>Read this first</w:t>
            </w:r>
          </w:p>
          <w:p>
            <w:pPr>
              <w:spacing w:after="60"/>
            </w:pPr>
            <w:r>
              <w:rPr>
                <w:b w:val="0"/>
                <w:i w:val="0"/>
                <w:sz w:val="19"/>
              </w:rPr>
              <w:t>Model text for adaptation with your company secretary and legal counsel; not legal advice. Each policy must be approved by the board (and the audit committee where stated) and placed on the company's website where the regulations require.</w:t>
            </w:r>
          </w:p>
          <w:p>
            <w:pPr>
              <w:spacing w:after="60"/>
            </w:pPr>
            <w:r>
              <w:rPr>
                <w:b w:val="0"/>
                <w:i w:val="0"/>
                <w:sz w:val="19"/>
              </w:rPr>
              <w:t>SME applicability: LODR Reg 15(2) exempts an entity listed on the SME exchange from Regs 17 to 27 and paras C, D and E of Schedule V. Reg 23 (related party transactions) has applied to SME-listed entities above a size threshold from 1 April 2025 (see Policy 3). Regs 6, 9, 30 and 46 and the PIT Regulations apply in full.</w:t>
            </w:r>
          </w:p>
          <w:p>
            <w:pPr>
              <w:spacing w:after="60"/>
            </w:pPr>
            <w:r>
              <w:rPr>
                <w:b w:val="0"/>
                <w:i w:val="0"/>
                <w:sz w:val="19"/>
              </w:rPr>
              <w:t xml:space="preserve">Text in </w:t>
            </w:r>
            <w:r>
              <w:rPr>
                <w:b w:val="0"/>
                <w:i w:val="0"/>
                <w:sz w:val="19"/>
                <w:highlight w:val="yellow"/>
              </w:rPr>
              <w:t>[square brackets with yellow highlight]</w:t>
            </w:r>
            <w:r>
              <w:rPr>
                <w:b w:val="0"/>
                <w:i w:val="0"/>
                <w:sz w:val="19"/>
              </w:rPr>
              <w:t xml:space="preserve"> is a placeholder. Prepared by Vikash Khanal (vikashkhanal.in).</w:t>
            </w:r>
          </w:p>
        </w:tc>
      </w:tr>
    </w:tbl>
    <w:p>
      <w:pPr>
        <w:spacing w:after="40"/>
      </w:pPr>
    </w:p>
    <w:tbl>
      <w:tblPr>
        <w:tblStyle w:val="TableGrid"/>
        <w:tblW w:type="auto" w:w="0"/>
        <w:jc w:val="center"/>
        <w:tblLayout w:type="fixed"/>
        <w:tblLook w:firstColumn="1" w:firstRow="1" w:lastColumn="0" w:lastRow="0" w:noHBand="0" w:noVBand="1" w:val="04A0"/>
      </w:tblPr>
      <w:tblGrid>
        <w:gridCol w:w="454"/>
        <w:gridCol w:w="4819"/>
        <w:gridCol w:w="4139"/>
      </w:tblGrid>
      <w:tr>
        <w:tc>
          <w:tcPr>
            <w:tcW w:type="dxa" w:w="454"/>
            <w:shd w:val="clear" w:color="auto" w:fill="4B2FA8"/>
          </w:tcPr>
          <w:p>
            <w:r/>
            <w:r>
              <w:rPr>
                <w:b/>
                <w:i w:val="0"/>
                <w:color w:val="FFFFFF"/>
                <w:sz w:val="18"/>
              </w:rPr>
              <w:t>#</w:t>
            </w:r>
          </w:p>
        </w:tc>
        <w:tc>
          <w:tcPr>
            <w:tcW w:type="dxa" w:w="4819"/>
            <w:shd w:val="clear" w:color="auto" w:fill="4B2FA8"/>
          </w:tcPr>
          <w:p>
            <w:r/>
            <w:r>
              <w:rPr>
                <w:b/>
                <w:i w:val="0"/>
                <w:color w:val="FFFFFF"/>
                <w:sz w:val="18"/>
              </w:rPr>
              <w:t>Policy</w:t>
            </w:r>
          </w:p>
        </w:tc>
        <w:tc>
          <w:tcPr>
            <w:tcW w:type="dxa" w:w="4139"/>
            <w:shd w:val="clear" w:color="auto" w:fill="4B2FA8"/>
          </w:tcPr>
          <w:p>
            <w:r/>
            <w:r>
              <w:rPr>
                <w:b/>
                <w:i w:val="0"/>
                <w:color w:val="FFFFFF"/>
                <w:sz w:val="18"/>
              </w:rPr>
              <w:t>Main source</w:t>
            </w:r>
          </w:p>
        </w:tc>
      </w:tr>
      <w:tr>
        <w:tc>
          <w:tcPr>
            <w:tcW w:type="dxa" w:w="454"/>
          </w:tcPr>
          <w:p>
            <w:r/>
            <w:r>
              <w:rPr>
                <w:b w:val="0"/>
                <w:i w:val="0"/>
                <w:sz w:val="18"/>
              </w:rPr>
              <w:t>1</w:t>
            </w:r>
          </w:p>
        </w:tc>
        <w:tc>
          <w:tcPr>
            <w:tcW w:type="dxa" w:w="4819"/>
          </w:tcPr>
          <w:p>
            <w:r/>
            <w:r>
              <w:rPr>
                <w:b w:val="0"/>
                <w:i w:val="0"/>
                <w:sz w:val="18"/>
              </w:rPr>
              <w:t>Determination of materiality of events and information</w:t>
            </w:r>
          </w:p>
        </w:tc>
        <w:tc>
          <w:tcPr>
            <w:tcW w:type="dxa" w:w="4139"/>
          </w:tcPr>
          <w:p>
            <w:r/>
            <w:r>
              <w:rPr>
                <w:b w:val="0"/>
                <w:i w:val="0"/>
                <w:sz w:val="18"/>
              </w:rPr>
              <w:t>LODR Reg 30(4)(ii), Schedule III</w:t>
            </w:r>
          </w:p>
        </w:tc>
      </w:tr>
      <w:tr>
        <w:tc>
          <w:tcPr>
            <w:tcW w:type="dxa" w:w="454"/>
          </w:tcPr>
          <w:p>
            <w:r/>
            <w:r>
              <w:rPr>
                <w:b w:val="0"/>
                <w:i w:val="0"/>
                <w:sz w:val="18"/>
              </w:rPr>
              <w:t>2</w:t>
            </w:r>
          </w:p>
        </w:tc>
        <w:tc>
          <w:tcPr>
            <w:tcW w:type="dxa" w:w="4819"/>
          </w:tcPr>
          <w:p>
            <w:r/>
            <w:r>
              <w:rPr>
                <w:b w:val="0"/>
                <w:i w:val="0"/>
                <w:sz w:val="18"/>
              </w:rPr>
              <w:t>Preservation of documents and archival</w:t>
            </w:r>
          </w:p>
        </w:tc>
        <w:tc>
          <w:tcPr>
            <w:tcW w:type="dxa" w:w="4139"/>
          </w:tcPr>
          <w:p>
            <w:r/>
            <w:r>
              <w:rPr>
                <w:b w:val="0"/>
                <w:i w:val="0"/>
                <w:sz w:val="18"/>
              </w:rPr>
              <w:t>LODR Reg 9, Reg 30(8)</w:t>
            </w:r>
          </w:p>
        </w:tc>
      </w:tr>
      <w:tr>
        <w:tc>
          <w:tcPr>
            <w:tcW w:type="dxa" w:w="454"/>
          </w:tcPr>
          <w:p>
            <w:r/>
            <w:r>
              <w:rPr>
                <w:b w:val="0"/>
                <w:i w:val="0"/>
                <w:sz w:val="18"/>
              </w:rPr>
              <w:t>3</w:t>
            </w:r>
          </w:p>
        </w:tc>
        <w:tc>
          <w:tcPr>
            <w:tcW w:type="dxa" w:w="4819"/>
          </w:tcPr>
          <w:p>
            <w:r/>
            <w:r>
              <w:rPr>
                <w:b w:val="0"/>
                <w:i w:val="0"/>
                <w:sz w:val="18"/>
              </w:rPr>
              <w:t>Related party transactions</w:t>
            </w:r>
          </w:p>
        </w:tc>
        <w:tc>
          <w:tcPr>
            <w:tcW w:type="dxa" w:w="4139"/>
          </w:tcPr>
          <w:p>
            <w:r/>
            <w:r>
              <w:rPr>
                <w:b w:val="0"/>
                <w:i w:val="0"/>
                <w:sz w:val="18"/>
              </w:rPr>
              <w:t>Companies Act s.177(4)(iv), s.188; LODR Reg 23 (size-based for SME)</w:t>
            </w:r>
          </w:p>
        </w:tc>
      </w:tr>
      <w:tr>
        <w:tc>
          <w:tcPr>
            <w:tcW w:type="dxa" w:w="454"/>
          </w:tcPr>
          <w:p>
            <w:r/>
            <w:r>
              <w:rPr>
                <w:b w:val="0"/>
                <w:i w:val="0"/>
                <w:sz w:val="18"/>
              </w:rPr>
              <w:t>4</w:t>
            </w:r>
          </w:p>
        </w:tc>
        <w:tc>
          <w:tcPr>
            <w:tcW w:type="dxa" w:w="4819"/>
          </w:tcPr>
          <w:p>
            <w:r/>
            <w:r>
              <w:rPr>
                <w:b w:val="0"/>
                <w:i w:val="0"/>
                <w:sz w:val="18"/>
              </w:rPr>
              <w:t>Code of practices and procedures for fair disclosure of UPSI</w:t>
            </w:r>
          </w:p>
        </w:tc>
        <w:tc>
          <w:tcPr>
            <w:tcW w:type="dxa" w:w="4139"/>
          </w:tcPr>
          <w:p>
            <w:r/>
            <w:r>
              <w:rPr>
                <w:b w:val="0"/>
                <w:i w:val="0"/>
                <w:sz w:val="18"/>
              </w:rPr>
              <w:t>PIT Reg 8, Schedule A; Reg 3(2A)</w:t>
            </w:r>
          </w:p>
        </w:tc>
      </w:tr>
      <w:tr>
        <w:tc>
          <w:tcPr>
            <w:tcW w:type="dxa" w:w="454"/>
          </w:tcPr>
          <w:p>
            <w:r/>
            <w:r>
              <w:rPr>
                <w:b w:val="0"/>
                <w:i w:val="0"/>
                <w:sz w:val="18"/>
              </w:rPr>
              <w:t>5</w:t>
            </w:r>
          </w:p>
        </w:tc>
        <w:tc>
          <w:tcPr>
            <w:tcW w:type="dxa" w:w="4819"/>
          </w:tcPr>
          <w:p>
            <w:r/>
            <w:r>
              <w:rPr>
                <w:b w:val="0"/>
                <w:i w:val="0"/>
                <w:sz w:val="18"/>
              </w:rPr>
              <w:t>Code of conduct for designated persons</w:t>
            </w:r>
          </w:p>
        </w:tc>
        <w:tc>
          <w:tcPr>
            <w:tcW w:type="dxa" w:w="4139"/>
          </w:tcPr>
          <w:p>
            <w:r/>
            <w:r>
              <w:rPr>
                <w:b w:val="0"/>
                <w:i w:val="0"/>
                <w:sz w:val="18"/>
              </w:rPr>
              <w:t>PIT Reg 9, Schedule B; Reg 3(5), Reg 7</w:t>
            </w:r>
          </w:p>
        </w:tc>
      </w:tr>
      <w:tr>
        <w:tc>
          <w:tcPr>
            <w:tcW w:type="dxa" w:w="454"/>
          </w:tcPr>
          <w:p>
            <w:r/>
            <w:r>
              <w:rPr>
                <w:b w:val="0"/>
                <w:i w:val="0"/>
                <w:sz w:val="18"/>
              </w:rPr>
              <w:t>6</w:t>
            </w:r>
          </w:p>
        </w:tc>
        <w:tc>
          <w:tcPr>
            <w:tcW w:type="dxa" w:w="4819"/>
          </w:tcPr>
          <w:p>
            <w:r/>
            <w:r>
              <w:rPr>
                <w:b w:val="0"/>
                <w:i w:val="0"/>
                <w:sz w:val="18"/>
              </w:rPr>
              <w:t>Vigil mechanism / whistle-blower policy</w:t>
            </w:r>
          </w:p>
        </w:tc>
        <w:tc>
          <w:tcPr>
            <w:tcW w:type="dxa" w:w="4139"/>
          </w:tcPr>
          <w:p>
            <w:r/>
            <w:r>
              <w:rPr>
                <w:b w:val="0"/>
                <w:i w:val="0"/>
                <w:sz w:val="18"/>
              </w:rPr>
              <w:t>Companies Act s.177(9), (10); Rule 7 Meetings of Board Rules; PIT Reg 9A(6)</w:t>
            </w:r>
          </w:p>
        </w:tc>
      </w:tr>
      <w:tr>
        <w:tc>
          <w:tcPr>
            <w:tcW w:type="dxa" w:w="454"/>
          </w:tcPr>
          <w:p>
            <w:r/>
            <w:r>
              <w:rPr>
                <w:b w:val="0"/>
                <w:i w:val="0"/>
                <w:sz w:val="18"/>
              </w:rPr>
              <w:t>7</w:t>
            </w:r>
          </w:p>
        </w:tc>
        <w:tc>
          <w:tcPr>
            <w:tcW w:type="dxa" w:w="4819"/>
          </w:tcPr>
          <w:p>
            <w:r/>
            <w:r>
              <w:rPr>
                <w:b w:val="0"/>
                <w:i w:val="0"/>
                <w:sz w:val="18"/>
              </w:rPr>
              <w:t>Nomination and remuneration policy (outline)</w:t>
            </w:r>
          </w:p>
        </w:tc>
        <w:tc>
          <w:tcPr>
            <w:tcW w:type="dxa" w:w="4139"/>
          </w:tcPr>
          <w:p>
            <w:r/>
            <w:r>
              <w:rPr>
                <w:b w:val="0"/>
                <w:i w:val="0"/>
                <w:sz w:val="18"/>
              </w:rPr>
              <w:t>Companies Act s.178(2) to (4)</w:t>
            </w:r>
          </w:p>
        </w:tc>
      </w:tr>
    </w:tbl>
    <w:p>
      <w:pPr>
        <w:spacing w:after="40"/>
      </w:pPr>
    </w:p>
    <w:p>
      <w:pPr>
        <w:pStyle w:val="Heading1"/>
      </w:pPr>
      <w:r>
        <w:t>Policy 1. Determination of materiality of events and information</w:t>
      </w:r>
    </w:p>
    <w:p>
      <w:pPr>
        <w:tabs>
          <w:tab w:pos="567" w:val="left"/>
        </w:tabs>
        <w:ind w:left="567" w:hanging="567"/>
      </w:pPr>
      <w:r>
        <w:rPr>
          <w:b/>
        </w:rPr>
        <w:t>1.</w:t>
        <w:tab/>
      </w:r>
      <w:r>
        <w:rPr>
          <w:b/>
          <w:i w:val="0"/>
        </w:rPr>
        <w:t>Purpose.</w:t>
      </w:r>
      <w:r>
        <w:rPr>
          <w:b w:val="0"/>
          <w:i w:val="0"/>
        </w:rPr>
        <w:t xml:space="preserve"> To set the criteria by which </w:t>
      </w:r>
      <w:r>
        <w:rPr>
          <w:b w:val="0"/>
          <w:i w:val="0"/>
          <w:highlight w:val="yellow"/>
        </w:rPr>
        <w:t>[Company Name]</w:t>
      </w:r>
      <w:r>
        <w:rPr>
          <w:b w:val="0"/>
          <w:i w:val="0"/>
        </w:rPr>
        <w:t xml:space="preserve"> Limited (the "Company") decides which events and information are material and must be disclosed to the stock exchange under Regulation 30 of the LODR, and to name the persons authorised to decide.</w:t>
      </w:r>
    </w:p>
    <w:p>
      <w:pPr>
        <w:tabs>
          <w:tab w:pos="567" w:val="left"/>
        </w:tabs>
        <w:ind w:left="567" w:hanging="567"/>
      </w:pPr>
      <w:r>
        <w:rPr>
          <w:b/>
        </w:rPr>
        <w:t>2.</w:t>
        <w:tab/>
      </w:r>
      <w:r>
        <w:rPr>
          <w:b/>
          <w:i w:val="0"/>
        </w:rPr>
        <w:t>Deemed material events.</w:t>
      </w:r>
      <w:r>
        <w:rPr>
          <w:b w:val="0"/>
          <w:i w:val="0"/>
        </w:rPr>
        <w:t xml:space="preserve"> Events in Para A of Part A of Schedule III (for example acquisitions, schemes of arrangement, issue or alteration of securities, changes in directors, KMP, senior management or auditors, outcomes of board meetings, fraud or default, credit-rating changes) are disclosed without applying any materiality test.</w:t>
      </w:r>
    </w:p>
    <w:p>
      <w:pPr>
        <w:tabs>
          <w:tab w:pos="567" w:val="left"/>
        </w:tabs>
        <w:ind w:left="567" w:hanging="567"/>
      </w:pPr>
      <w:r>
        <w:rPr>
          <w:b/>
        </w:rPr>
        <w:t>3.</w:t>
        <w:tab/>
      </w:r>
      <w:r>
        <w:rPr>
          <w:b/>
          <w:i w:val="0"/>
        </w:rPr>
        <w:t>Events subject to materiality.</w:t>
      </w:r>
      <w:r>
        <w:rPr>
          <w:b w:val="0"/>
          <w:i w:val="0"/>
        </w:rPr>
        <w:t xml:space="preserve"> Events in Para B of Part A of Schedule III (for example commencement or postponement of commercial production, award or termination of material contracts, litigation, disruption of operations, regulatory actions) are disclosed when material under clause 4.</w:t>
      </w:r>
    </w:p>
    <w:p>
      <w:pPr>
        <w:tabs>
          <w:tab w:pos="567" w:val="left"/>
        </w:tabs>
        <w:ind w:left="567" w:hanging="567"/>
      </w:pPr>
      <w:r>
        <w:rPr>
          <w:b/>
        </w:rPr>
        <w:t>4.</w:t>
        <w:tab/>
      </w:r>
      <w:r>
        <w:rPr>
          <w:b/>
          <w:i w:val="0"/>
        </w:rPr>
        <w:t>Test of materiality</w:t>
      </w:r>
      <w:r>
        <w:rPr>
          <w:b w:val="0"/>
          <w:i w:val="0"/>
        </w:rPr>
        <w:t xml:space="preserve"> (Reg 30(4)(i)). An event or information is material if any of the following applies:</w:t>
      </w:r>
    </w:p>
    <w:p>
      <w:pPr>
        <w:tabs>
          <w:tab w:pos="1077" w:val="left"/>
        </w:tabs>
        <w:ind w:left="1077" w:hanging="567"/>
      </w:pPr>
      <w:r>
        <w:rPr>
          <w:b w:val="0"/>
        </w:rPr>
        <w:t>(a)</w:t>
        <w:tab/>
      </w:r>
      <w:r>
        <w:rPr>
          <w:b w:val="0"/>
          <w:i w:val="0"/>
        </w:rPr>
        <w:t>its omission is likely to result in discontinuity or alteration of information already available publicly;</w:t>
      </w:r>
    </w:p>
    <w:p>
      <w:pPr>
        <w:tabs>
          <w:tab w:pos="1077" w:val="left"/>
        </w:tabs>
        <w:ind w:left="1077" w:hanging="567"/>
      </w:pPr>
      <w:r>
        <w:rPr>
          <w:b w:val="0"/>
        </w:rPr>
        <w:t>(b)</w:t>
        <w:tab/>
      </w:r>
      <w:r>
        <w:rPr>
          <w:b w:val="0"/>
          <w:i w:val="0"/>
        </w:rPr>
        <w:t>its omission is likely to result in significant market reaction if it comes to light at a later date;</w:t>
      </w:r>
    </w:p>
    <w:p>
      <w:pPr>
        <w:tabs>
          <w:tab w:pos="1077" w:val="left"/>
        </w:tabs>
        <w:ind w:left="1077" w:hanging="567"/>
      </w:pPr>
      <w:r>
        <w:rPr>
          <w:b w:val="0"/>
        </w:rPr>
        <w:t>(c)</w:t>
        <w:tab/>
      </w:r>
      <w:r>
        <w:rPr>
          <w:b w:val="0"/>
          <w:i w:val="0"/>
        </w:rPr>
        <w:t xml:space="preserve">its value or expected impact in terms of value exceeds the lowest of: (i) 2% of turnover; (ii) 2% of net worth, except where net worth is negative; (iii) 5% of the average of the absolute value of profit or loss after tax of the last three years; each as per the last audited </w:t>
      </w:r>
      <w:r>
        <w:rPr>
          <w:b w:val="0"/>
          <w:i w:val="0"/>
          <w:highlight w:val="yellow"/>
        </w:rPr>
        <w:t>[consolidated]</w:t>
      </w:r>
      <w:r>
        <w:rPr>
          <w:b w:val="0"/>
          <w:i w:val="0"/>
        </w:rPr>
        <w:t xml:space="preserve"> financial statements;</w:t>
      </w:r>
    </w:p>
    <w:p>
      <w:pPr>
        <w:tabs>
          <w:tab w:pos="1077" w:val="left"/>
        </w:tabs>
        <w:ind w:left="1077" w:hanging="567"/>
      </w:pPr>
      <w:r>
        <w:rPr>
          <w:b w:val="0"/>
        </w:rPr>
        <w:t>(d)</w:t>
        <w:tab/>
      </w:r>
      <w:r>
        <w:rPr>
          <w:b w:val="0"/>
          <w:i w:val="0"/>
        </w:rPr>
        <w:t xml:space="preserve">where (a) to (c) are not met, the Board </w:t>
      </w:r>
      <w:r>
        <w:rPr>
          <w:b w:val="0"/>
          <w:i w:val="0"/>
          <w:highlight w:val="yellow"/>
        </w:rPr>
        <w:t>[or the authorised KMP]</w:t>
      </w:r>
      <w:r>
        <w:rPr>
          <w:b w:val="0"/>
          <w:i w:val="0"/>
        </w:rPr>
        <w:t xml:space="preserve"> considers it material.</w:t>
      </w:r>
    </w:p>
    <w:p>
      <w:pPr>
        <w:tabs>
          <w:tab w:pos="567" w:val="left"/>
        </w:tabs>
        <w:ind w:left="567" w:hanging="567"/>
      </w:pPr>
      <w:r>
        <w:rPr>
          <w:b/>
        </w:rPr>
        <w:t>5.</w:t>
        <w:tab/>
      </w:r>
      <w:r>
        <w:rPr>
          <w:b/>
          <w:i w:val="0"/>
        </w:rPr>
        <w:t>Threshold for the current year.</w:t>
      </w:r>
      <w:r>
        <w:rPr>
          <w:b w:val="0"/>
          <w:i w:val="0"/>
        </w:rPr>
        <w:t xml:space="preserve"> Based on the audited financial statements for </w:t>
      </w:r>
      <w:r>
        <w:rPr>
          <w:b w:val="0"/>
          <w:i w:val="0"/>
          <w:highlight w:val="yellow"/>
        </w:rPr>
        <w:t>[FY 2025-26]</w:t>
      </w:r>
      <w:r>
        <w:rPr>
          <w:b w:val="0"/>
          <w:i w:val="0"/>
        </w:rPr>
        <w:t>: turnover ₹</w:t>
      </w:r>
      <w:r>
        <w:rPr>
          <w:b w:val="0"/>
          <w:i w:val="0"/>
          <w:highlight w:val="yellow"/>
        </w:rPr>
        <w:t>[ ]</w:t>
      </w:r>
      <w:r>
        <w:rPr>
          <w:b w:val="0"/>
          <w:i w:val="0"/>
        </w:rPr>
        <w:t xml:space="preserve"> lakh (2% = ₹</w:t>
      </w:r>
      <w:r>
        <w:rPr>
          <w:b w:val="0"/>
          <w:i w:val="0"/>
          <w:highlight w:val="yellow"/>
        </w:rPr>
        <w:t>[ ]</w:t>
      </w:r>
      <w:r>
        <w:rPr>
          <w:b w:val="0"/>
          <w:i w:val="0"/>
        </w:rPr>
        <w:t xml:space="preserve"> lakh); net worth ₹</w:t>
      </w:r>
      <w:r>
        <w:rPr>
          <w:b w:val="0"/>
          <w:i w:val="0"/>
          <w:highlight w:val="yellow"/>
        </w:rPr>
        <w:t>[ ]</w:t>
      </w:r>
      <w:r>
        <w:rPr>
          <w:b w:val="0"/>
          <w:i w:val="0"/>
        </w:rPr>
        <w:t xml:space="preserve"> lakh (2% = ₹</w:t>
      </w:r>
      <w:r>
        <w:rPr>
          <w:b w:val="0"/>
          <w:i w:val="0"/>
          <w:highlight w:val="yellow"/>
        </w:rPr>
        <w:t>[ ]</w:t>
      </w:r>
      <w:r>
        <w:rPr>
          <w:b w:val="0"/>
          <w:i w:val="0"/>
        </w:rPr>
        <w:t xml:space="preserve"> lakh); average absolute PAT of three years ₹</w:t>
      </w:r>
      <w:r>
        <w:rPr>
          <w:b w:val="0"/>
          <w:i w:val="0"/>
          <w:highlight w:val="yellow"/>
        </w:rPr>
        <w:t>[ ]</w:t>
      </w:r>
      <w:r>
        <w:rPr>
          <w:b w:val="0"/>
          <w:i w:val="0"/>
        </w:rPr>
        <w:t xml:space="preserve"> lakh (5% = ₹</w:t>
      </w:r>
      <w:r>
        <w:rPr>
          <w:b w:val="0"/>
          <w:i w:val="0"/>
          <w:highlight w:val="yellow"/>
        </w:rPr>
        <w:t>[ ]</w:t>
      </w:r>
      <w:r>
        <w:rPr>
          <w:b w:val="0"/>
          <w:i w:val="0"/>
        </w:rPr>
        <w:t xml:space="preserve"> lakh). Materiality threshold: ₹</w:t>
      </w:r>
      <w:r>
        <w:rPr>
          <w:b w:val="0"/>
          <w:i w:val="0"/>
          <w:highlight w:val="yellow"/>
        </w:rPr>
        <w:t>[lowest of the three]</w:t>
      </w:r>
      <w:r>
        <w:rPr>
          <w:b w:val="0"/>
          <w:i w:val="0"/>
        </w:rPr>
        <w:t xml:space="preserve"> lakh. The Compliance Officer updates this figure after each annual audit.</w:t>
      </w:r>
    </w:p>
    <w:p>
      <w:pPr>
        <w:tabs>
          <w:tab w:pos="567" w:val="left"/>
        </w:tabs>
        <w:ind w:left="567" w:hanging="567"/>
      </w:pPr>
      <w:r>
        <w:rPr>
          <w:b/>
        </w:rPr>
        <w:t>6.</w:t>
        <w:tab/>
      </w:r>
      <w:r>
        <w:rPr>
          <w:b/>
          <w:i w:val="0"/>
        </w:rPr>
        <w:t>Authorised persons</w:t>
      </w:r>
      <w:r>
        <w:rPr>
          <w:b w:val="0"/>
          <w:i w:val="0"/>
        </w:rPr>
        <w:t xml:space="preserve"> (Reg 30(5)). </w:t>
      </w:r>
      <w:r>
        <w:rPr>
          <w:b w:val="0"/>
          <w:i w:val="0"/>
          <w:highlight w:val="yellow"/>
        </w:rPr>
        <w:t>[Managing Director]</w:t>
      </w:r>
      <w:r>
        <w:rPr>
          <w:b w:val="0"/>
          <w:i w:val="0"/>
        </w:rPr>
        <w:t xml:space="preserve">, </w:t>
      </w:r>
      <w:r>
        <w:rPr>
          <w:b w:val="0"/>
          <w:i w:val="0"/>
          <w:highlight w:val="yellow"/>
        </w:rPr>
        <w:t>[Chief Financial Officer]</w:t>
      </w:r>
      <w:r>
        <w:rPr>
          <w:b w:val="0"/>
          <w:i w:val="0"/>
        </w:rPr>
        <w:t xml:space="preserve"> and </w:t>
      </w:r>
      <w:r>
        <w:rPr>
          <w:b w:val="0"/>
          <w:i w:val="0"/>
          <w:highlight w:val="yellow"/>
        </w:rPr>
        <w:t>[Company Secretary &amp; Compliance Officer]</w:t>
      </w:r>
      <w:r>
        <w:rPr>
          <w:b w:val="0"/>
          <w:i w:val="0"/>
        </w:rPr>
        <w:t>, jointly or severally, are authorised to determine materiality and to make disclosures. Their contact details are disclosed to the exchange and on the website.</w:t>
      </w:r>
    </w:p>
    <w:p>
      <w:pPr>
        <w:tabs>
          <w:tab w:pos="567" w:val="left"/>
        </w:tabs>
        <w:ind w:left="567" w:hanging="567"/>
      </w:pPr>
      <w:r>
        <w:rPr>
          <w:b/>
        </w:rPr>
        <w:t>7.</w:t>
        <w:tab/>
      </w:r>
      <w:r>
        <w:rPr>
          <w:b/>
          <w:i w:val="0"/>
        </w:rPr>
        <w:t>Timelines</w:t>
      </w:r>
      <w:r>
        <w:rPr>
          <w:b w:val="0"/>
          <w:i w:val="0"/>
        </w:rPr>
        <w:t xml:space="preserve"> (Reg 30(6)). Disclose as soon as reasonably possible and not later than: 30 minutes from the close of the board meeting at which the decision was taken; 12 hours where the event emanates from within the Company; 24 hours where it does not. Give reasons for any delay.</w:t>
      </w:r>
    </w:p>
    <w:p>
      <w:pPr>
        <w:tabs>
          <w:tab w:pos="567" w:val="left"/>
        </w:tabs>
        <w:ind w:left="567" w:hanging="567"/>
      </w:pPr>
      <w:r>
        <w:rPr>
          <w:b/>
        </w:rPr>
        <w:t>8.</w:t>
        <w:tab/>
      </w:r>
      <w:r>
        <w:rPr>
          <w:b/>
          <w:i w:val="0"/>
        </w:rPr>
        <w:t>Internal reporting.</w:t>
      </w:r>
      <w:r>
        <w:rPr>
          <w:b w:val="0"/>
          <w:i w:val="0"/>
        </w:rPr>
        <w:t xml:space="preserve"> Heads of departments and subsidiaries report any potentially material event to the Compliance Officer on the same day by </w:t>
      </w:r>
      <w:r>
        <w:rPr>
          <w:b w:val="0"/>
          <w:i w:val="0"/>
          <w:highlight w:val="yellow"/>
        </w:rPr>
        <w:t>[email to compliance@ ]</w:t>
      </w:r>
      <w:r>
        <w:rPr>
          <w:b w:val="0"/>
          <w:i w:val="0"/>
        </w:rPr>
        <w:t>. When in doubt, report.</w:t>
      </w:r>
    </w:p>
    <w:p>
      <w:pPr>
        <w:tabs>
          <w:tab w:pos="567" w:val="left"/>
        </w:tabs>
        <w:ind w:left="567" w:hanging="567"/>
      </w:pPr>
      <w:r>
        <w:rPr>
          <w:b/>
        </w:rPr>
        <w:t>9.</w:t>
        <w:tab/>
      </w:r>
      <w:r>
        <w:rPr>
          <w:b/>
          <w:i w:val="0"/>
        </w:rPr>
        <w:t>Website.</w:t>
      </w:r>
      <w:r>
        <w:rPr>
          <w:b w:val="0"/>
          <w:i w:val="0"/>
        </w:rPr>
        <w:t xml:space="preserve"> All disclosures are hosted on the Company's website for at least five years and then archived under Policy 2 (Reg 30(8)).</w:t>
      </w:r>
    </w:p>
    <w:p>
      <w:pPr>
        <w:tabs>
          <w:tab w:pos="567" w:val="left"/>
        </w:tabs>
        <w:ind w:left="567" w:hanging="567"/>
      </w:pPr>
      <w:r>
        <w:rPr>
          <w:b/>
        </w:rPr>
        <w:t>10.</w:t>
        <w:tab/>
      </w:r>
      <w:r>
        <w:rPr>
          <w:b/>
          <w:i w:val="0"/>
        </w:rPr>
        <w:t>Review.</w:t>
      </w:r>
      <w:r>
        <w:rPr>
          <w:b w:val="0"/>
          <w:i w:val="0"/>
        </w:rPr>
        <w:t xml:space="preserve"> The Board reviews this policy at least </w:t>
      </w:r>
      <w:r>
        <w:rPr>
          <w:b w:val="0"/>
          <w:i w:val="0"/>
          <w:highlight w:val="yellow"/>
        </w:rPr>
        <w:t>[every two years]</w:t>
      </w:r>
      <w:r>
        <w:rPr>
          <w:b w:val="0"/>
          <w:i w:val="0"/>
        </w:rPr>
        <w:t xml:space="preserve"> and whenever Reg 30 or Schedule III is amended.</w:t>
      </w:r>
    </w:p>
    <w:p>
      <w:r>
        <w:rPr>
          <w:b w:val="0"/>
          <w:i w:val="0"/>
          <w:color w:val="555555"/>
          <w:sz w:val="18"/>
        </w:rPr>
        <w:t>Note: verification of market rumours under Reg 30(11) applies to the top listed entities by market capitalisation and is not normally relevant to an SME-listed entity; confirm against the current list.</w:t>
      </w:r>
    </w:p>
    <w:p>
      <w:pPr>
        <w:pStyle w:val="Heading1"/>
      </w:pPr>
      <w:r>
        <w:t>Policy 2. Preservation of documents and archival</w:t>
      </w:r>
    </w:p>
    <w:p>
      <w:pPr>
        <w:tabs>
          <w:tab w:pos="567" w:val="left"/>
        </w:tabs>
        <w:ind w:left="567" w:hanging="567"/>
      </w:pPr>
      <w:r>
        <w:rPr>
          <w:b/>
        </w:rPr>
        <w:t>1.</w:t>
        <w:tab/>
      </w:r>
      <w:r>
        <w:rPr>
          <w:b/>
          <w:i w:val="0"/>
        </w:rPr>
        <w:t>Purpose.</w:t>
      </w:r>
      <w:r>
        <w:rPr>
          <w:b w:val="0"/>
          <w:i w:val="0"/>
        </w:rPr>
        <w:t xml:space="preserve"> To classify the Company's documents for preservation under Regulation 9 of the LODR and to set the archival period for website disclosures under Regulation 30(8).</w:t>
      </w:r>
    </w:p>
    <w:p>
      <w:pPr>
        <w:tabs>
          <w:tab w:pos="567" w:val="left"/>
        </w:tabs>
        <w:ind w:left="567" w:hanging="567"/>
      </w:pPr>
      <w:r>
        <w:rPr>
          <w:b/>
        </w:rPr>
        <w:t>2.</w:t>
        <w:tab/>
      </w:r>
      <w:r>
        <w:rPr>
          <w:b/>
          <w:i w:val="0"/>
        </w:rPr>
        <w:t>Documents preserved permanently</w:t>
      </w:r>
      <w:r>
        <w:rPr>
          <w:b w:val="0"/>
          <w:i w:val="0"/>
        </w:rPr>
        <w:t xml:space="preserve"> (Reg 9(a)), including: memorandum and articles of association; certificate of incorporation and change of name; minute books of general, board and committee meetings; registers of members, directors and KMP, charges and contracts; register of share transfers and allotments; annual returns; title deeds of immovable property; </w:t>
      </w:r>
      <w:r>
        <w:rPr>
          <w:b w:val="0"/>
          <w:i w:val="0"/>
          <w:highlight w:val="yellow"/>
        </w:rPr>
        <w:t>[ ]</w:t>
      </w:r>
      <w:r>
        <w:rPr>
          <w:b w:val="0"/>
          <w:i w:val="0"/>
        </w:rPr>
        <w:t>.</w:t>
      </w:r>
    </w:p>
    <w:p>
      <w:pPr>
        <w:tabs>
          <w:tab w:pos="567" w:val="left"/>
        </w:tabs>
        <w:ind w:left="567" w:hanging="567"/>
      </w:pPr>
      <w:r>
        <w:rPr>
          <w:b/>
        </w:rPr>
        <w:t>3.</w:t>
        <w:tab/>
      </w:r>
      <w:r>
        <w:rPr>
          <w:b/>
          <w:i w:val="0"/>
        </w:rPr>
        <w:t>Documents preserved for at least eight years</w:t>
      </w:r>
      <w:r>
        <w:rPr>
          <w:b w:val="0"/>
          <w:i w:val="0"/>
        </w:rPr>
        <w:t xml:space="preserve"> after completion of the relevant transaction (Reg 9(b)), including: books of account and vouchers (also s.128(5)); disclosures and filings with the stock exchange; notices of meetings; contracts and agreements; statutory returns and correspondence with regulators; </w:t>
      </w:r>
      <w:r>
        <w:rPr>
          <w:b w:val="0"/>
          <w:i w:val="0"/>
          <w:highlight w:val="yellow"/>
        </w:rPr>
        <w:t>[ ]</w:t>
      </w:r>
      <w:r>
        <w:rPr>
          <w:b w:val="0"/>
          <w:i w:val="0"/>
        </w:rPr>
        <w:t>.</w:t>
      </w:r>
    </w:p>
    <w:p>
      <w:pPr>
        <w:tabs>
          <w:tab w:pos="567" w:val="left"/>
        </w:tabs>
        <w:ind w:left="567" w:hanging="567"/>
      </w:pPr>
      <w:r>
        <w:rPr>
          <w:b/>
        </w:rPr>
        <w:t>4.</w:t>
        <w:tab/>
      </w:r>
      <w:r>
        <w:rPr>
          <w:b/>
          <w:i w:val="0"/>
        </w:rPr>
        <w:t>Mode.</w:t>
      </w:r>
      <w:r>
        <w:rPr>
          <w:b w:val="0"/>
          <w:i w:val="0"/>
        </w:rPr>
        <w:t xml:space="preserve"> Documents may be preserved in physical or electronic form, with back-up and access control. Electronic records must be retrievable in readable form for the full period.</w:t>
      </w:r>
    </w:p>
    <w:p>
      <w:pPr>
        <w:tabs>
          <w:tab w:pos="567" w:val="left"/>
        </w:tabs>
        <w:ind w:left="567" w:hanging="567"/>
      </w:pPr>
      <w:r>
        <w:rPr>
          <w:b/>
        </w:rPr>
        <w:t>5.</w:t>
        <w:tab/>
      </w:r>
      <w:r>
        <w:rPr>
          <w:b/>
          <w:i w:val="0"/>
        </w:rPr>
        <w:t>Custodian.</w:t>
      </w:r>
      <w:r>
        <w:rPr>
          <w:b w:val="0"/>
          <w:i w:val="0"/>
        </w:rPr>
        <w:t xml:space="preserve"> The Company Secretary for secretarial records; the Chief Financial Officer for financial records; department heads for operational records.</w:t>
      </w:r>
    </w:p>
    <w:p>
      <w:pPr>
        <w:tabs>
          <w:tab w:pos="567" w:val="left"/>
        </w:tabs>
        <w:ind w:left="567" w:hanging="567"/>
      </w:pPr>
      <w:r>
        <w:rPr>
          <w:b/>
        </w:rPr>
        <w:t>6.</w:t>
        <w:tab/>
      </w:r>
      <w:r>
        <w:rPr>
          <w:b/>
          <w:i w:val="0"/>
        </w:rPr>
        <w:t>Destruction.</w:t>
      </w:r>
      <w:r>
        <w:rPr>
          <w:b w:val="0"/>
          <w:i w:val="0"/>
        </w:rPr>
        <w:t xml:space="preserve"> Documents past their preservation period may be destroyed with the written approval of </w:t>
      </w:r>
      <w:r>
        <w:rPr>
          <w:b w:val="0"/>
          <w:i w:val="0"/>
          <w:highlight w:val="yellow"/>
        </w:rPr>
        <w:t>[the Company Secretary / CFO]</w:t>
      </w:r>
      <w:r>
        <w:rPr>
          <w:b w:val="0"/>
          <w:i w:val="0"/>
        </w:rPr>
        <w:t>, except those relevant to pending litigation, investigation or audit. A register of destroyed documents is kept.</w:t>
      </w:r>
    </w:p>
    <w:p>
      <w:pPr>
        <w:tabs>
          <w:tab w:pos="567" w:val="left"/>
        </w:tabs>
        <w:ind w:left="567" w:hanging="567"/>
      </w:pPr>
      <w:r>
        <w:rPr>
          <w:b/>
        </w:rPr>
        <w:t>7.</w:t>
        <w:tab/>
      </w:r>
      <w:r>
        <w:rPr>
          <w:b/>
          <w:i w:val="0"/>
        </w:rPr>
        <w:t>Archival of website disclosures.</w:t>
      </w:r>
      <w:r>
        <w:rPr>
          <w:b w:val="0"/>
          <w:i w:val="0"/>
        </w:rPr>
        <w:t xml:space="preserve"> Disclosures made under Reg 30 stay on the website for five years and are then moved to an archive section of the website </w:t>
      </w:r>
      <w:r>
        <w:rPr>
          <w:b w:val="0"/>
          <w:i w:val="0"/>
          <w:highlight w:val="yellow"/>
        </w:rPr>
        <w:t>[or to the Company's records]</w:t>
      </w:r>
      <w:r>
        <w:rPr>
          <w:b w:val="0"/>
          <w:i w:val="0"/>
        </w:rPr>
        <w:t xml:space="preserve"> for a further </w:t>
      </w:r>
      <w:r>
        <w:rPr>
          <w:b w:val="0"/>
          <w:i w:val="0"/>
          <w:highlight w:val="yellow"/>
        </w:rPr>
        <w:t>[three]</w:t>
      </w:r>
      <w:r>
        <w:rPr>
          <w:b w:val="0"/>
          <w:i w:val="0"/>
        </w:rPr>
        <w:t xml:space="preserve"> years.</w:t>
      </w:r>
    </w:p>
    <w:p>
      <w:pPr>
        <w:pStyle w:val="Heading1"/>
      </w:pPr>
      <w:r>
        <w:t>Policy 3. Related party transactions</w:t>
      </w:r>
    </w:p>
    <w:p>
      <w:pPr>
        <w:tabs>
          <w:tab w:pos="567" w:val="left"/>
        </w:tabs>
        <w:ind w:left="567" w:hanging="567"/>
      </w:pPr>
      <w:r>
        <w:rPr>
          <w:b/>
        </w:rPr>
        <w:t>1.</w:t>
        <w:tab/>
      </w:r>
      <w:r>
        <w:rPr>
          <w:b/>
          <w:i w:val="0"/>
        </w:rPr>
        <w:t>Applicability.</w:t>
      </w:r>
      <w:r>
        <w:rPr>
          <w:b w:val="0"/>
          <w:i w:val="0"/>
        </w:rPr>
        <w:t xml:space="preserve"> This policy applies under sections 177 and 188 of the Companies Act, 2013 and Rule 15 of the Companies (Meetings of Board and its Powers) Rules, 2014. Regulation 23 of the LODR applies to the Company, being SME-listed, only if on the last day of the previous financial year its paid-up equity share capital exceeded ₹10 crore or its net worth exceeded ₹25 crore (LODR amendment effective 1 April 2025). Once applicable it continues until both measures stay below the thresholds for three consecutive years. </w:t>
      </w:r>
      <w:r>
        <w:rPr>
          <w:b w:val="0"/>
          <w:i w:val="0"/>
          <w:highlight w:val="yellow"/>
        </w:rPr>
        <w:t>[Status for the Company: applicable / not applicable.]</w:t>
      </w:r>
    </w:p>
    <w:p>
      <w:pPr>
        <w:tabs>
          <w:tab w:pos="567" w:val="left"/>
        </w:tabs>
        <w:ind w:left="567" w:hanging="567"/>
      </w:pPr>
      <w:r>
        <w:rPr>
          <w:b/>
        </w:rPr>
        <w:t>2.</w:t>
        <w:tab/>
      </w:r>
      <w:r>
        <w:rPr>
          <w:b/>
          <w:i w:val="0"/>
        </w:rPr>
        <w:t>Definitions.</w:t>
      </w:r>
      <w:r>
        <w:rPr>
          <w:b w:val="0"/>
          <w:i w:val="0"/>
        </w:rPr>
        <w:t xml:space="preserve"> "Related party" and "related party transaction" have the meanings in section 2(76) of the Act and, where Reg 23 applies, Regulation 2(1)(zb) and 2(1)(zc) of the LODR. "Arm's length" means a transaction conducted as if the parties were unrelated, with no conflict of interest.</w:t>
      </w:r>
    </w:p>
    <w:p>
      <w:pPr>
        <w:tabs>
          <w:tab w:pos="567" w:val="left"/>
        </w:tabs>
        <w:ind w:left="567" w:hanging="567"/>
      </w:pPr>
      <w:r>
        <w:rPr>
          <w:b/>
        </w:rPr>
        <w:t>3.</w:t>
        <w:tab/>
      </w:r>
      <w:r>
        <w:rPr>
          <w:b/>
          <w:i w:val="0"/>
        </w:rPr>
        <w:t>Audit committee approval.</w:t>
      </w:r>
      <w:r>
        <w:rPr>
          <w:b w:val="0"/>
          <w:i w:val="0"/>
        </w:rPr>
        <w:t xml:space="preserve"> Every related party transaction and every subsequent material modification needs the prior approval of the Audit Committee (s.177(4)(iv)); only independent directors on the Committee vote on it </w:t>
      </w:r>
      <w:r>
        <w:rPr>
          <w:b w:val="0"/>
          <w:i w:val="0"/>
          <w:highlight w:val="yellow"/>
        </w:rPr>
        <w:t>[where Reg 23 applies]</w:t>
      </w:r>
      <w:r>
        <w:rPr>
          <w:b w:val="0"/>
          <w:i w:val="0"/>
        </w:rPr>
        <w:t xml:space="preserve">. The Committee may give omnibus approval for repetitive transactions for up to one year, with a per-transaction and annual cap, and reviews them </w:t>
      </w:r>
      <w:r>
        <w:rPr>
          <w:b w:val="0"/>
          <w:i w:val="0"/>
          <w:highlight w:val="yellow"/>
        </w:rPr>
        <w:t>[quarterly]</w:t>
      </w:r>
      <w:r>
        <w:rPr>
          <w:b w:val="0"/>
          <w:i w:val="0"/>
        </w:rPr>
        <w:t>.</w:t>
      </w:r>
    </w:p>
    <w:p>
      <w:pPr>
        <w:tabs>
          <w:tab w:pos="567" w:val="left"/>
        </w:tabs>
        <w:ind w:left="567" w:hanging="567"/>
      </w:pPr>
      <w:r>
        <w:rPr>
          <w:b/>
        </w:rPr>
        <w:t>4.</w:t>
        <w:tab/>
      </w:r>
      <w:r>
        <w:rPr>
          <w:b/>
          <w:i w:val="0"/>
        </w:rPr>
        <w:t>Board and shareholder approval under the Act.</w:t>
      </w:r>
      <w:r>
        <w:rPr>
          <w:b w:val="0"/>
          <w:i w:val="0"/>
        </w:rPr>
        <w:t xml:space="preserve"> Transactions under section 188(1) that are not in the ordinary course of business or not at arm's length need board approval and, above the limits in Rule 15(3), prior approval of members by ordinary resolution with related parties not voting.</w:t>
      </w:r>
    </w:p>
    <w:p>
      <w:pPr>
        <w:tabs>
          <w:tab w:pos="567" w:val="left"/>
        </w:tabs>
        <w:ind w:left="567" w:hanging="567"/>
      </w:pPr>
      <w:r>
        <w:rPr>
          <w:b/>
        </w:rPr>
        <w:t>5.</w:t>
        <w:tab/>
      </w:r>
      <w:r>
        <w:rPr>
          <w:b/>
          <w:i w:val="0"/>
        </w:rPr>
        <w:t>Material RPTs under Reg 23</w:t>
      </w:r>
      <w:r>
        <w:rPr>
          <w:b w:val="0"/>
          <w:i w:val="0"/>
        </w:rPr>
        <w:t xml:space="preserve"> (if applicable). For an SME-listed entity a transaction is material if, alone or taken together with earlier transactions in the year, it exceeds the lower of ₹50 crore or 10% of the annual consolidated turnover per the last audited financial statements. Material RPTs need prior approval of shareholders by resolution, with related parties not voting either way. </w:t>
      </w:r>
      <w:r>
        <w:rPr>
          <w:b w:val="0"/>
          <w:i w:val="0"/>
          <w:highlight w:val="yellow"/>
        </w:rPr>
        <w:t>[verify current threshold before adoption]</w:t>
      </w:r>
    </w:p>
    <w:p>
      <w:pPr>
        <w:tabs>
          <w:tab w:pos="567" w:val="left"/>
        </w:tabs>
        <w:ind w:left="567" w:hanging="567"/>
      </w:pPr>
      <w:r>
        <w:rPr>
          <w:b/>
        </w:rPr>
        <w:t>6.</w:t>
        <w:tab/>
      </w:r>
      <w:r>
        <w:rPr>
          <w:b/>
          <w:i w:val="0"/>
        </w:rPr>
        <w:t>Material modification</w:t>
      </w:r>
      <w:r>
        <w:rPr>
          <w:b w:val="0"/>
          <w:i w:val="0"/>
        </w:rPr>
        <w:t xml:space="preserve"> means </w:t>
      </w:r>
      <w:r>
        <w:rPr>
          <w:b w:val="0"/>
          <w:i w:val="0"/>
          <w:highlight w:val="yellow"/>
        </w:rPr>
        <w:t>[any change in value of more than 10% of the originally approved amount, or a change in pricing, tenure or counterparty]</w:t>
      </w:r>
      <w:r>
        <w:rPr>
          <w:b w:val="0"/>
          <w:i w:val="0"/>
        </w:rPr>
        <w:t>.</w:t>
      </w:r>
    </w:p>
    <w:p>
      <w:pPr>
        <w:tabs>
          <w:tab w:pos="567" w:val="left"/>
        </w:tabs>
        <w:ind w:left="567" w:hanging="567"/>
      </w:pPr>
      <w:r>
        <w:rPr>
          <w:b/>
        </w:rPr>
        <w:t>7.</w:t>
        <w:tab/>
      </w:r>
      <w:r>
        <w:rPr>
          <w:b/>
          <w:i w:val="0"/>
        </w:rPr>
        <w:t>Exclusions.</w:t>
      </w:r>
      <w:r>
        <w:rPr>
          <w:b w:val="0"/>
          <w:i w:val="0"/>
        </w:rPr>
        <w:t xml:space="preserve"> Transactions between the Company and its wholly owned subsidiary whose accounts are consolidated, and other transactions exempted by Reg 23(5) or the Act, as applicable.</w:t>
      </w:r>
    </w:p>
    <w:p>
      <w:pPr>
        <w:tabs>
          <w:tab w:pos="567" w:val="left"/>
        </w:tabs>
        <w:ind w:left="567" w:hanging="567"/>
      </w:pPr>
      <w:r>
        <w:rPr>
          <w:b/>
        </w:rPr>
        <w:t>8.</w:t>
        <w:tab/>
      </w:r>
      <w:r>
        <w:rPr>
          <w:b/>
          <w:i w:val="0"/>
        </w:rPr>
        <w:t>Disclosure.</w:t>
      </w:r>
      <w:r>
        <w:rPr>
          <w:b w:val="0"/>
          <w:i w:val="0"/>
        </w:rPr>
        <w:t xml:space="preserve"> Form AOC-2 in the board's report; related party disclosures in financial statements (AS 18 / Ind AS 24); half-yearly disclosure to the exchange where Reg 23(9) applies; this policy on the website.</w:t>
      </w:r>
    </w:p>
    <w:p>
      <w:pPr>
        <w:tabs>
          <w:tab w:pos="567" w:val="left"/>
        </w:tabs>
        <w:ind w:left="567" w:hanging="567"/>
      </w:pPr>
      <w:r>
        <w:rPr>
          <w:b/>
        </w:rPr>
        <w:t>9.</w:t>
        <w:tab/>
      </w:r>
      <w:r>
        <w:rPr>
          <w:b/>
          <w:i w:val="0"/>
        </w:rPr>
        <w:t>Transactions without approval.</w:t>
      </w:r>
      <w:r>
        <w:rPr>
          <w:b w:val="0"/>
          <w:i w:val="0"/>
        </w:rPr>
        <w:t xml:space="preserve"> Any transaction entered without the required approval is placed before the Audit Committee within </w:t>
      </w:r>
      <w:r>
        <w:rPr>
          <w:b w:val="0"/>
          <w:i w:val="0"/>
          <w:highlight w:val="yellow"/>
        </w:rPr>
        <w:t>[three]</w:t>
      </w:r>
      <w:r>
        <w:rPr>
          <w:b w:val="0"/>
          <w:i w:val="0"/>
        </w:rPr>
        <w:t xml:space="preserve"> months for ratification; if not ratified, the Company takes steps to recover amounts and may proceed against the person responsible.</w:t>
      </w:r>
    </w:p>
    <w:p>
      <w:pPr>
        <w:tabs>
          <w:tab w:pos="567" w:val="left"/>
        </w:tabs>
        <w:ind w:left="567" w:hanging="567"/>
      </w:pPr>
      <w:r>
        <w:rPr>
          <w:b/>
        </w:rPr>
        <w:t>10.</w:t>
        <w:tab/>
      </w:r>
      <w:r>
        <w:rPr>
          <w:b/>
          <w:i w:val="0"/>
        </w:rPr>
        <w:t>Review.</w:t>
      </w:r>
      <w:r>
        <w:rPr>
          <w:b w:val="0"/>
          <w:i w:val="0"/>
        </w:rPr>
        <w:t xml:space="preserve"> The Board reviews this policy at least once every three years.</w:t>
      </w:r>
    </w:p>
    <w:p>
      <w:pPr>
        <w:pStyle w:val="Heading1"/>
      </w:pPr>
      <w:r>
        <w:t>Policy 4. Code of practices and procedures for fair disclosure of UPSI</w:t>
      </w:r>
    </w:p>
    <w:p>
      <w:r>
        <w:rPr>
          <w:b w:val="0"/>
          <w:i w:val="0"/>
          <w:color w:val="555555"/>
          <w:sz w:val="19"/>
        </w:rPr>
        <w:t>Adopted under Regulation 8(1) of the PIT Regulations, following the principles in Schedule A. To be published on the website and intimated to the stock exchange on adoption and on every amendment.</w:t>
      </w:r>
    </w:p>
    <w:p>
      <w:pPr>
        <w:tabs>
          <w:tab w:pos="567" w:val="left"/>
        </w:tabs>
        <w:ind w:left="567" w:hanging="567"/>
      </w:pPr>
      <w:r>
        <w:rPr>
          <w:b/>
        </w:rPr>
        <w:t>1.</w:t>
        <w:tab/>
      </w:r>
      <w:r>
        <w:rPr>
          <w:b w:val="0"/>
          <w:i w:val="0"/>
        </w:rPr>
        <w:t>The Company will make prompt public disclosure of unpublished price sensitive information (UPSI) that would affect price discovery, as soon as credible and concrete information comes into being, so as to make it generally available.</w:t>
      </w:r>
    </w:p>
    <w:p>
      <w:pPr>
        <w:tabs>
          <w:tab w:pos="567" w:val="left"/>
        </w:tabs>
        <w:ind w:left="567" w:hanging="567"/>
      </w:pPr>
      <w:r>
        <w:rPr>
          <w:b/>
        </w:rPr>
        <w:t>2.</w:t>
        <w:tab/>
      </w:r>
      <w:r>
        <w:rPr>
          <w:b w:val="0"/>
          <w:i w:val="0"/>
        </w:rPr>
        <w:t>Disclosure is uniform and universal; selective disclosure is avoided.</w:t>
      </w:r>
    </w:p>
    <w:p>
      <w:pPr>
        <w:tabs>
          <w:tab w:pos="567" w:val="left"/>
        </w:tabs>
        <w:ind w:left="567" w:hanging="567"/>
      </w:pPr>
      <w:r>
        <w:rPr>
          <w:b/>
        </w:rPr>
        <w:t>3.</w:t>
        <w:tab/>
      </w:r>
      <w:r>
        <w:rPr>
          <w:b w:val="0"/>
          <w:i w:val="0"/>
        </w:rPr>
        <w:t xml:space="preserve">The </w:t>
      </w:r>
      <w:r>
        <w:rPr>
          <w:b w:val="0"/>
          <w:i w:val="0"/>
          <w:highlight w:val="yellow"/>
        </w:rPr>
        <w:t>[Company Secretary / Chief Financial Officer]</w:t>
      </w:r>
      <w:r>
        <w:rPr>
          <w:b w:val="0"/>
          <w:i w:val="0"/>
        </w:rPr>
        <w:t xml:space="preserve"> is the Chief Investor Relations Officer, responsible for dissemination of information and disclosure of UPSI.</w:t>
      </w:r>
    </w:p>
    <w:p>
      <w:pPr>
        <w:tabs>
          <w:tab w:pos="567" w:val="left"/>
        </w:tabs>
        <w:ind w:left="567" w:hanging="567"/>
      </w:pPr>
      <w:r>
        <w:rPr>
          <w:b/>
        </w:rPr>
        <w:t>4.</w:t>
        <w:tab/>
      </w:r>
      <w:r>
        <w:rPr>
          <w:b w:val="0"/>
          <w:i w:val="0"/>
        </w:rPr>
        <w:t>Any UPSI disclosed selectively, inadvertently or otherwise is promptly disseminated to make it generally available.</w:t>
      </w:r>
    </w:p>
    <w:p>
      <w:pPr>
        <w:tabs>
          <w:tab w:pos="567" w:val="left"/>
        </w:tabs>
        <w:ind w:left="567" w:hanging="567"/>
      </w:pPr>
      <w:r>
        <w:rPr>
          <w:b/>
        </w:rPr>
        <w:t>5.</w:t>
        <w:tab/>
      </w:r>
      <w:r>
        <w:rPr>
          <w:b w:val="0"/>
          <w:i w:val="0"/>
        </w:rPr>
        <w:t>The Company responds appropriately and fairly to queries on news reports and to requests for verification of market rumours by regulators.</w:t>
      </w:r>
    </w:p>
    <w:p>
      <w:pPr>
        <w:tabs>
          <w:tab w:pos="567" w:val="left"/>
        </w:tabs>
        <w:ind w:left="567" w:hanging="567"/>
      </w:pPr>
      <w:r>
        <w:rPr>
          <w:b/>
        </w:rPr>
        <w:t>6.</w:t>
        <w:tab/>
      </w:r>
      <w:r>
        <w:rPr>
          <w:b w:val="0"/>
          <w:i w:val="0"/>
        </w:rPr>
        <w:t>Information shared with analysts and research personnel is not UPSI.</w:t>
      </w:r>
    </w:p>
    <w:p>
      <w:pPr>
        <w:tabs>
          <w:tab w:pos="567" w:val="left"/>
        </w:tabs>
        <w:ind w:left="567" w:hanging="567"/>
      </w:pPr>
      <w:r>
        <w:rPr>
          <w:b/>
        </w:rPr>
        <w:t>7.</w:t>
        <w:tab/>
      </w:r>
      <w:r>
        <w:rPr>
          <w:b w:val="0"/>
          <w:i w:val="0"/>
        </w:rPr>
        <w:t>Transcripts or records of proceedings of meetings with analysts and other investor-relations conferences are placed on the website.</w:t>
      </w:r>
    </w:p>
    <w:p>
      <w:pPr>
        <w:tabs>
          <w:tab w:pos="567" w:val="left"/>
        </w:tabs>
        <w:ind w:left="567" w:hanging="567"/>
      </w:pPr>
      <w:r>
        <w:rPr>
          <w:b/>
        </w:rPr>
        <w:t>8.</w:t>
        <w:tab/>
      </w:r>
      <w:r>
        <w:rPr>
          <w:b w:val="0"/>
          <w:i w:val="0"/>
        </w:rPr>
        <w:t>UPSI is handled on a need-to-know basis.</w:t>
      </w:r>
    </w:p>
    <w:p>
      <w:pPr>
        <w:tabs>
          <w:tab w:pos="567" w:val="left"/>
        </w:tabs>
        <w:ind w:left="567" w:hanging="567"/>
      </w:pPr>
      <w:r>
        <w:rPr>
          <w:b/>
        </w:rPr>
        <w:t>9.</w:t>
        <w:tab/>
      </w:r>
      <w:r>
        <w:rPr>
          <w:b/>
          <w:i w:val="0"/>
        </w:rPr>
        <w:t>Legitimate purposes</w:t>
      </w:r>
      <w:r>
        <w:rPr>
          <w:b w:val="0"/>
          <w:i w:val="0"/>
        </w:rPr>
        <w:t xml:space="preserve"> (Reg 3(2A)). UPSI may be shared in the ordinary course of business with partners, collaborators, lenders, customers, suppliers, merchant bankers, legal advisors, auditors, insolvency professionals and other advisors or consultants, provided the sharing is not to evade the PIT Regulations. Each recipient is an insider, is given notice to maintain confidentiality, and is entered in the structured digital database (Policy 5, clause 9).</w:t>
      </w:r>
    </w:p>
    <w:p>
      <w:r>
        <w:rPr>
          <w:b w:val="0"/>
          <w:i w:val="0"/>
          <w:color w:val="555555"/>
          <w:sz w:val="18"/>
        </w:rPr>
        <w:t xml:space="preserve">Note: SEBI widened the definition of UPSI in 2025 to cover additional Schedule III events (for example fund-raising proposals and agreements affecting management or control) </w:t>
      </w:r>
      <w:r>
        <w:rPr>
          <w:b w:val="0"/>
          <w:i w:val="0"/>
          <w:color w:val="555555"/>
          <w:sz w:val="18"/>
          <w:highlight w:val="yellow"/>
        </w:rPr>
        <w:t>[verify the current list in Reg 2(1)(n)]</w:t>
      </w:r>
      <w:r>
        <w:rPr>
          <w:b w:val="0"/>
          <w:i w:val="0"/>
          <w:color w:val="555555"/>
          <w:sz w:val="18"/>
        </w:rPr>
        <w:t>.</w:t>
      </w:r>
    </w:p>
    <w:p>
      <w:pPr>
        <w:pStyle w:val="Heading1"/>
      </w:pPr>
      <w:r>
        <w:t>Policy 5. Code of conduct to regulate, monitor and report trading by designated persons</w:t>
      </w:r>
    </w:p>
    <w:p>
      <w:r>
        <w:rPr>
          <w:b w:val="0"/>
          <w:i w:val="0"/>
          <w:color w:val="555555"/>
          <w:sz w:val="19"/>
        </w:rPr>
        <w:t>Adopted under Regulation 9(1) of the PIT Regulations, following the minimum standards in Schedule B.</w:t>
      </w:r>
    </w:p>
    <w:p>
      <w:pPr>
        <w:tabs>
          <w:tab w:pos="567" w:val="left"/>
        </w:tabs>
        <w:ind w:left="567" w:hanging="567"/>
      </w:pPr>
      <w:r>
        <w:rPr>
          <w:b/>
        </w:rPr>
        <w:t>1.</w:t>
        <w:tab/>
      </w:r>
      <w:r>
        <w:rPr>
          <w:b/>
          <w:i w:val="0"/>
        </w:rPr>
        <w:t>Compliance Officer.</w:t>
      </w:r>
      <w:r>
        <w:rPr>
          <w:b w:val="0"/>
          <w:i w:val="0"/>
        </w:rPr>
        <w:t xml:space="preserve"> The Company Secretary administers this code, maintains records and reports to the Board </w:t>
      </w:r>
      <w:r>
        <w:rPr>
          <w:b w:val="0"/>
          <w:i w:val="0"/>
          <w:highlight w:val="yellow"/>
        </w:rPr>
        <w:t>[and the Audit Committee]</w:t>
      </w:r>
      <w:r>
        <w:rPr>
          <w:b w:val="0"/>
          <w:i w:val="0"/>
        </w:rPr>
        <w:t xml:space="preserve"> at least annually.</w:t>
      </w:r>
    </w:p>
    <w:p>
      <w:pPr>
        <w:tabs>
          <w:tab w:pos="567" w:val="left"/>
        </w:tabs>
        <w:ind w:left="567" w:hanging="567"/>
      </w:pPr>
      <w:r>
        <w:rPr>
          <w:b/>
        </w:rPr>
        <w:t>2.</w:t>
        <w:tab/>
      </w:r>
      <w:r>
        <w:rPr>
          <w:b/>
          <w:i w:val="0"/>
        </w:rPr>
        <w:t>Designated persons</w:t>
      </w:r>
      <w:r>
        <w:rPr>
          <w:b w:val="0"/>
          <w:i w:val="0"/>
        </w:rPr>
        <w:t xml:space="preserve"> are: promoters; directors; KMP; employees up to </w:t>
      </w:r>
      <w:r>
        <w:rPr>
          <w:b w:val="0"/>
          <w:i w:val="0"/>
          <w:highlight w:val="yellow"/>
        </w:rPr>
        <w:t>[two]</w:t>
      </w:r>
      <w:r>
        <w:rPr>
          <w:b w:val="0"/>
          <w:i w:val="0"/>
        </w:rPr>
        <w:t xml:space="preserve"> levels below the MD; all employees in the finance, accounts, secretarial, legal and investor-relations functions; </w:t>
      </w:r>
      <w:r>
        <w:rPr>
          <w:b w:val="0"/>
          <w:i w:val="0"/>
          <w:highlight w:val="yellow"/>
        </w:rPr>
        <w:t>[ ]</w:t>
      </w:r>
      <w:r>
        <w:rPr>
          <w:b w:val="0"/>
          <w:i w:val="0"/>
        </w:rPr>
        <w:t>; and support staff with access to UPSI. Their immediate relatives are covered through them.</w:t>
      </w:r>
    </w:p>
    <w:p>
      <w:pPr>
        <w:tabs>
          <w:tab w:pos="567" w:val="left"/>
        </w:tabs>
        <w:ind w:left="567" w:hanging="567"/>
      </w:pPr>
      <w:r>
        <w:rPr>
          <w:b/>
        </w:rPr>
        <w:t>3.</w:t>
        <w:tab/>
      </w:r>
      <w:r>
        <w:rPr>
          <w:b/>
          <w:i w:val="0"/>
        </w:rPr>
        <w:t>Trading window.</w:t>
      </w:r>
      <w:r>
        <w:rPr>
          <w:b w:val="0"/>
          <w:i w:val="0"/>
        </w:rPr>
        <w:t xml:space="preserve"> Designated persons and their immediate relatives may not trade when the trading window is closed. It closes from the end of every </w:t>
      </w:r>
      <w:r>
        <w:rPr>
          <w:b w:val="0"/>
          <w:i w:val="0"/>
          <w:highlight w:val="yellow"/>
        </w:rPr>
        <w:t>[half-year / quarter]</w:t>
      </w:r>
      <w:r>
        <w:rPr>
          <w:b w:val="0"/>
          <w:i w:val="0"/>
        </w:rPr>
        <w:t xml:space="preserve"> until 48 hours after the financial results are made public, and at other times when the Compliance Officer determines that designated persons are likely to hold UPSI. </w:t>
      </w:r>
      <w:r>
        <w:rPr>
          <w:b w:val="0"/>
          <w:i w:val="0"/>
          <w:highlight w:val="yellow"/>
        </w:rPr>
        <w:t>[SME-listed companies publish results half-yearly under Reg 33.]</w:t>
      </w:r>
    </w:p>
    <w:p>
      <w:pPr>
        <w:tabs>
          <w:tab w:pos="567" w:val="left"/>
        </w:tabs>
        <w:ind w:left="567" w:hanging="567"/>
      </w:pPr>
      <w:r>
        <w:rPr>
          <w:b/>
        </w:rPr>
        <w:t>4.</w:t>
        <w:tab/>
      </w:r>
      <w:r>
        <w:rPr>
          <w:b/>
          <w:i w:val="0"/>
        </w:rPr>
        <w:t>Pre-clearance.</w:t>
      </w:r>
      <w:r>
        <w:rPr>
          <w:b w:val="0"/>
          <w:i w:val="0"/>
        </w:rPr>
        <w:t xml:space="preserve"> When the window is open, a designated person who intends to trade above </w:t>
      </w:r>
      <w:r>
        <w:rPr>
          <w:b w:val="0"/>
          <w:i w:val="0"/>
          <w:highlight w:val="yellow"/>
        </w:rPr>
        <w:t>[₹10 lakh in value / [ ]</w:t>
      </w:r>
      <w:r>
        <w:rPr>
          <w:b w:val="0"/>
          <w:i w:val="0"/>
        </w:rPr>
        <w:t xml:space="preserve"> shares] in a calendar quarter applies to the Compliance Officer in the prescribed form with an undertaking of no UPSI. The trade must be executed within seven trading days of approval, failing which fresh pre-clearance is needed.</w:t>
      </w:r>
    </w:p>
    <w:p>
      <w:pPr>
        <w:tabs>
          <w:tab w:pos="567" w:val="left"/>
        </w:tabs>
        <w:ind w:left="567" w:hanging="567"/>
      </w:pPr>
      <w:r>
        <w:rPr>
          <w:b/>
        </w:rPr>
        <w:t>5.</w:t>
        <w:tab/>
      </w:r>
      <w:r>
        <w:rPr>
          <w:b/>
          <w:i w:val="0"/>
        </w:rPr>
        <w:t>Contra trade.</w:t>
      </w:r>
      <w:r>
        <w:rPr>
          <w:b w:val="0"/>
          <w:i w:val="0"/>
        </w:rPr>
        <w:t xml:space="preserve"> A designated person who buys or sells shares may not enter into an opposite transaction within the next six months. The Compliance Officer may waive this for reasons recorded in writing without breaching the regulations. Profits from a contra trade in breach are disgorged and remitted to SEBI's Investor Protection and Education Fund.</w:t>
      </w:r>
    </w:p>
    <w:p>
      <w:pPr>
        <w:tabs>
          <w:tab w:pos="567" w:val="left"/>
        </w:tabs>
        <w:ind w:left="567" w:hanging="567"/>
      </w:pPr>
      <w:r>
        <w:rPr>
          <w:b/>
        </w:rPr>
        <w:t>6.</w:t>
        <w:tab/>
      </w:r>
      <w:r>
        <w:rPr>
          <w:b/>
          <w:i w:val="0"/>
        </w:rPr>
        <w:t>Trading plans</w:t>
      </w:r>
      <w:r>
        <w:rPr>
          <w:b w:val="0"/>
          <w:i w:val="0"/>
        </w:rPr>
        <w:t xml:space="preserve"> (Reg 5). An insider may trade under a trading plan approved by the Compliance Officer and disclosed to the exchange, subject to the cool-off period, minimum coverage and other conditions in Reg 5 as amended </w:t>
      </w:r>
      <w:r>
        <w:rPr>
          <w:b w:val="0"/>
          <w:i w:val="0"/>
          <w:highlight w:val="yellow"/>
        </w:rPr>
        <w:t>[verify the current conditions]</w:t>
      </w:r>
      <w:r>
        <w:rPr>
          <w:b w:val="0"/>
          <w:i w:val="0"/>
        </w:rPr>
        <w:t>.</w:t>
      </w:r>
    </w:p>
    <w:p>
      <w:pPr>
        <w:tabs>
          <w:tab w:pos="567" w:val="left"/>
        </w:tabs>
        <w:ind w:left="567" w:hanging="567"/>
      </w:pPr>
      <w:r>
        <w:rPr>
          <w:b/>
        </w:rPr>
        <w:t>7.</w:t>
        <w:tab/>
      </w:r>
      <w:r>
        <w:rPr>
          <w:b/>
          <w:i w:val="0"/>
        </w:rPr>
        <w:t>Disclosures.</w:t>
      </w:r>
      <w:r>
        <w:rPr>
          <w:b w:val="0"/>
          <w:i w:val="0"/>
        </w:rPr>
        <w:t xml:space="preserve"> (a) Initial: on becoming a designated person, holdings within seven days (Reg 7(1)(b)). (b) Continual: any director, KMP, promoter, member of the promoter group or designated person whose trades in a calendar quarter exceed ₹10 lakh in value informs the Company within two trading days, and the Company informs the exchange within two trading days of receipt (Reg 7(2)). (c) Annual and one-time: names, PAN and phone numbers of immediate relatives and persons with whom they share a material financial relationship, and educational institutions and past employers (Schedule B).</w:t>
      </w:r>
    </w:p>
    <w:p>
      <w:pPr>
        <w:tabs>
          <w:tab w:pos="567" w:val="left"/>
        </w:tabs>
        <w:ind w:left="567" w:hanging="567"/>
      </w:pPr>
      <w:r>
        <w:rPr>
          <w:b/>
        </w:rPr>
        <w:t>8.</w:t>
        <w:tab/>
      </w:r>
      <w:r>
        <w:rPr>
          <w:b/>
          <w:i w:val="0"/>
        </w:rPr>
        <w:t>Confidentiality and Chinese walls.</w:t>
      </w:r>
      <w:r>
        <w:rPr>
          <w:b w:val="0"/>
          <w:i w:val="0"/>
        </w:rPr>
        <w:t xml:space="preserve"> UPSI is handled on a need-to-know basis; departments holding UPSI are separated from others; files are access-controlled.</w:t>
      </w:r>
    </w:p>
    <w:p>
      <w:pPr>
        <w:tabs>
          <w:tab w:pos="567" w:val="left"/>
        </w:tabs>
        <w:ind w:left="567" w:hanging="567"/>
      </w:pPr>
      <w:r>
        <w:rPr>
          <w:b/>
        </w:rPr>
        <w:t>9.</w:t>
        <w:tab/>
      </w:r>
      <w:r>
        <w:rPr>
          <w:b/>
          <w:i w:val="0"/>
        </w:rPr>
        <w:t>Structured digital database</w:t>
      </w:r>
      <w:r>
        <w:rPr>
          <w:b w:val="0"/>
          <w:i w:val="0"/>
        </w:rPr>
        <w:t xml:space="preserve"> (Reg 3(5)). The Company maintains, with time stamps and audit trails, a database of persons with whom UPSI is shared, with their names and PAN (or other identifier), and the nature of the UPSI. It is kept in-house, cannot be edited, and is preserved for at least eight years.</w:t>
      </w:r>
    </w:p>
    <w:p>
      <w:pPr>
        <w:tabs>
          <w:tab w:pos="567" w:val="left"/>
        </w:tabs>
        <w:ind w:left="567" w:hanging="567"/>
      </w:pPr>
      <w:r>
        <w:rPr>
          <w:b/>
        </w:rPr>
        <w:t>10.</w:t>
        <w:tab/>
      </w:r>
      <w:r>
        <w:rPr>
          <w:b/>
          <w:i w:val="0"/>
        </w:rPr>
        <w:t>Penalties.</w:t>
      </w:r>
      <w:r>
        <w:rPr>
          <w:b w:val="0"/>
          <w:i w:val="0"/>
        </w:rPr>
        <w:t xml:space="preserve"> Breach of this code invites disciplinary action including wage freeze, suspension, recovery and clawback, and ineligibility for future participation in ESOPs, without prejudice to action by SEBI. Breaches are reported to the stock exchange in the format specified by SEBI.</w:t>
      </w:r>
    </w:p>
    <w:p>
      <w:pPr>
        <w:tabs>
          <w:tab w:pos="567" w:val="left"/>
        </w:tabs>
        <w:ind w:left="567" w:hanging="567"/>
      </w:pPr>
      <w:r>
        <w:rPr>
          <w:b/>
        </w:rPr>
        <w:t>11.</w:t>
        <w:tab/>
      </w:r>
      <w:r>
        <w:rPr>
          <w:b/>
          <w:i w:val="0"/>
        </w:rPr>
        <w:t>Inquiry into leaks</w:t>
      </w:r>
      <w:r>
        <w:rPr>
          <w:b w:val="0"/>
          <w:i w:val="0"/>
        </w:rPr>
        <w:t xml:space="preserve"> (Reg 9A(5)). The Board has a written policy for inquiry into leaks or suspected leaks of UPSI; the Company informs SEBI promptly of such leaks and the results of the inquiry.</w:t>
      </w:r>
    </w:p>
    <w:p>
      <w:pPr>
        <w:pStyle w:val="Heading1"/>
      </w:pPr>
      <w:r>
        <w:t>Policy 6. Vigil mechanism and whistle-blower policy</w:t>
      </w:r>
    </w:p>
    <w:p>
      <w:pPr>
        <w:tabs>
          <w:tab w:pos="567" w:val="left"/>
        </w:tabs>
        <w:ind w:left="567" w:hanging="567"/>
      </w:pPr>
      <w:r>
        <w:rPr>
          <w:b/>
        </w:rPr>
        <w:t>1.</w:t>
        <w:tab/>
      </w:r>
      <w:r>
        <w:rPr>
          <w:b/>
          <w:i w:val="0"/>
        </w:rPr>
        <w:t>Applicability.</w:t>
      </w:r>
      <w:r>
        <w:rPr>
          <w:b w:val="0"/>
          <w:i w:val="0"/>
        </w:rPr>
        <w:t xml:space="preserve"> Section 177(9) of the Companies Act, 2013 read with Rule 7 of the Companies (Meetings of Board and its Powers) Rules, 2014 requires every listed company to establish a vigil mechanism for directors and employees. PIT Reg 9A(6) requires the whistle-blower policy to let employees report instances of leak of UPSI.</w:t>
      </w:r>
    </w:p>
    <w:p>
      <w:pPr>
        <w:tabs>
          <w:tab w:pos="567" w:val="left"/>
        </w:tabs>
        <w:ind w:left="567" w:hanging="567"/>
      </w:pPr>
      <w:r>
        <w:rPr>
          <w:b/>
        </w:rPr>
        <w:t>2.</w:t>
        <w:tab/>
      </w:r>
      <w:r>
        <w:rPr>
          <w:b/>
          <w:i w:val="0"/>
        </w:rPr>
        <w:t>Who may report.</w:t>
      </w:r>
      <w:r>
        <w:rPr>
          <w:b w:val="0"/>
          <w:i w:val="0"/>
        </w:rPr>
        <w:t xml:space="preserve"> Directors, employees </w:t>
      </w:r>
      <w:r>
        <w:rPr>
          <w:b w:val="0"/>
          <w:i w:val="0"/>
          <w:highlight w:val="yellow"/>
        </w:rPr>
        <w:t>[and their representative bodies, vendors and customers]</w:t>
      </w:r>
      <w:r>
        <w:rPr>
          <w:b w:val="0"/>
          <w:i w:val="0"/>
        </w:rPr>
        <w:t>.</w:t>
      </w:r>
    </w:p>
    <w:p>
      <w:pPr>
        <w:tabs>
          <w:tab w:pos="567" w:val="left"/>
        </w:tabs>
        <w:ind w:left="567" w:hanging="567"/>
      </w:pPr>
      <w:r>
        <w:rPr>
          <w:b/>
        </w:rPr>
        <w:t>3.</w:t>
        <w:tab/>
      </w:r>
      <w:r>
        <w:rPr>
          <w:b/>
          <w:i w:val="0"/>
        </w:rPr>
        <w:t>What may be reported.</w:t>
      </w:r>
      <w:r>
        <w:rPr>
          <w:b w:val="0"/>
          <w:i w:val="0"/>
        </w:rPr>
        <w:t xml:space="preserve"> Unethical behaviour, actual or suspected fraud, violation of the code of conduct or ethics policy, leak of UPSI, financial misstatement, misuse of assets, and any breach of law.</w:t>
      </w:r>
    </w:p>
    <w:p>
      <w:pPr>
        <w:tabs>
          <w:tab w:pos="567" w:val="left"/>
        </w:tabs>
        <w:ind w:left="567" w:hanging="567"/>
      </w:pPr>
      <w:r>
        <w:rPr>
          <w:b/>
        </w:rPr>
        <w:t>4.</w:t>
        <w:tab/>
      </w:r>
      <w:r>
        <w:rPr>
          <w:b/>
          <w:i w:val="0"/>
        </w:rPr>
        <w:t>How to report.</w:t>
      </w:r>
      <w:r>
        <w:rPr>
          <w:b w:val="0"/>
          <w:i w:val="0"/>
        </w:rPr>
        <w:t xml:space="preserve"> In writing to the Vigilance Officer </w:t>
      </w:r>
      <w:r>
        <w:rPr>
          <w:b w:val="0"/>
          <w:i w:val="0"/>
          <w:highlight w:val="yellow"/>
        </w:rPr>
        <w:t>[name, email, address]</w:t>
      </w:r>
      <w:r>
        <w:rPr>
          <w:b w:val="0"/>
          <w:i w:val="0"/>
        </w:rPr>
        <w:t xml:space="preserve">; in exceptional cases directly to the Chairperson of the Audit Committee </w:t>
      </w:r>
      <w:r>
        <w:rPr>
          <w:b w:val="0"/>
          <w:i w:val="0"/>
          <w:highlight w:val="yellow"/>
        </w:rPr>
        <w:t>[email]</w:t>
      </w:r>
      <w:r>
        <w:rPr>
          <w:b w:val="0"/>
          <w:i w:val="0"/>
        </w:rPr>
        <w:t xml:space="preserve">. Anonymous reports are accepted </w:t>
      </w:r>
      <w:r>
        <w:rPr>
          <w:b w:val="0"/>
          <w:i w:val="0"/>
          <w:highlight w:val="yellow"/>
        </w:rPr>
        <w:t>[and examined if specific enough]</w:t>
      </w:r>
      <w:r>
        <w:rPr>
          <w:b w:val="0"/>
          <w:i w:val="0"/>
        </w:rPr>
        <w:t>.</w:t>
      </w:r>
    </w:p>
    <w:p>
      <w:pPr>
        <w:tabs>
          <w:tab w:pos="567" w:val="left"/>
        </w:tabs>
        <w:ind w:left="567" w:hanging="567"/>
      </w:pPr>
      <w:r>
        <w:rPr>
          <w:b/>
        </w:rPr>
        <w:t>5.</w:t>
        <w:tab/>
      </w:r>
      <w:r>
        <w:rPr>
          <w:b/>
          <w:i w:val="0"/>
        </w:rPr>
        <w:t>Investigation.</w:t>
      </w:r>
      <w:r>
        <w:rPr>
          <w:b w:val="0"/>
          <w:i w:val="0"/>
        </w:rPr>
        <w:t xml:space="preserve"> The Vigilance Officer acknowledges within </w:t>
      </w:r>
      <w:r>
        <w:rPr>
          <w:b w:val="0"/>
          <w:i w:val="0"/>
          <w:highlight w:val="yellow"/>
        </w:rPr>
        <w:t>[7]</w:t>
      </w:r>
      <w:r>
        <w:rPr>
          <w:b w:val="0"/>
          <w:i w:val="0"/>
        </w:rPr>
        <w:t xml:space="preserve"> days, conducts or commissions an investigation, and reports to the Audit Committee within </w:t>
      </w:r>
      <w:r>
        <w:rPr>
          <w:b w:val="0"/>
          <w:i w:val="0"/>
          <w:highlight w:val="yellow"/>
        </w:rPr>
        <w:t>[45]</w:t>
      </w:r>
      <w:r>
        <w:rPr>
          <w:b w:val="0"/>
          <w:i w:val="0"/>
        </w:rPr>
        <w:t xml:space="preserve"> days. The Audit Committee oversees the mechanism; a member with a conflict recuses.</w:t>
      </w:r>
    </w:p>
    <w:p>
      <w:pPr>
        <w:tabs>
          <w:tab w:pos="567" w:val="left"/>
        </w:tabs>
        <w:ind w:left="567" w:hanging="567"/>
      </w:pPr>
      <w:r>
        <w:rPr>
          <w:b/>
        </w:rPr>
        <w:t>6.</w:t>
        <w:tab/>
      </w:r>
      <w:r>
        <w:rPr>
          <w:b/>
          <w:i w:val="0"/>
        </w:rPr>
        <w:t>Protection.</w:t>
      </w:r>
      <w:r>
        <w:rPr>
          <w:b w:val="0"/>
          <w:i w:val="0"/>
        </w:rPr>
        <w:t xml:space="preserve"> No whistle-blower is victimised for a report made in good faith. Identity is kept confidential to the extent possible. Repeated frivolous complaints may lead to action against the complainant (Rule 7(5)).</w:t>
      </w:r>
    </w:p>
    <w:p>
      <w:pPr>
        <w:tabs>
          <w:tab w:pos="567" w:val="left"/>
        </w:tabs>
        <w:ind w:left="567" w:hanging="567"/>
      </w:pPr>
      <w:r>
        <w:rPr>
          <w:b/>
        </w:rPr>
        <w:t>7.</w:t>
        <w:tab/>
      </w:r>
      <w:r>
        <w:rPr>
          <w:b/>
          <w:i w:val="0"/>
        </w:rPr>
        <w:t>Disclosure.</w:t>
      </w:r>
      <w:r>
        <w:rPr>
          <w:b w:val="0"/>
          <w:i w:val="0"/>
        </w:rPr>
        <w:t xml:space="preserve"> Details of the mechanism are on the website and in the board's report (s.177(10)).</w:t>
      </w:r>
    </w:p>
    <w:p>
      <w:pPr>
        <w:pStyle w:val="Heading1"/>
      </w:pPr>
      <w:r>
        <w:t>Policy 7. Nomination and remuneration policy (outline)</w:t>
      </w:r>
    </w:p>
    <w:p>
      <w:pPr>
        <w:tabs>
          <w:tab w:pos="567" w:val="left"/>
        </w:tabs>
        <w:ind w:left="567" w:hanging="567"/>
      </w:pPr>
      <w:r>
        <w:rPr>
          <w:b/>
        </w:rPr>
        <w:t>1.</w:t>
        <w:tab/>
      </w:r>
      <w:r>
        <w:rPr>
          <w:b/>
          <w:i w:val="0"/>
        </w:rPr>
        <w:t>Basis.</w:t>
      </w:r>
      <w:r>
        <w:rPr>
          <w:b w:val="0"/>
          <w:i w:val="0"/>
        </w:rPr>
        <w:t xml:space="preserve"> Section 178(2), (3) and (4) of the Companies Act, 2013. The policy is placed on the website and its salient features, with the web link, are disclosed in the board's report.</w:t>
      </w:r>
    </w:p>
    <w:p>
      <w:pPr>
        <w:tabs>
          <w:tab w:pos="567" w:val="left"/>
        </w:tabs>
        <w:ind w:left="567" w:hanging="567"/>
      </w:pPr>
      <w:r>
        <w:rPr>
          <w:b/>
        </w:rPr>
        <w:t>2.</w:t>
        <w:tab/>
      </w:r>
      <w:r>
        <w:rPr>
          <w:b/>
          <w:i w:val="0"/>
        </w:rPr>
        <w:t>Board composition and diversity.</w:t>
      </w:r>
      <w:r>
        <w:rPr>
          <w:b w:val="0"/>
          <w:i w:val="0"/>
        </w:rPr>
        <w:t xml:space="preserve"> </w:t>
      </w:r>
      <w:r>
        <w:rPr>
          <w:b w:val="0"/>
          <w:i w:val="0"/>
          <w:highlight w:val="yellow"/>
        </w:rPr>
        <w:t>[Mix of executive, non-executive and independent directors; at least one woman director; skills matrix covering industry, finance, legal, risk and governance.]</w:t>
      </w:r>
    </w:p>
    <w:p>
      <w:pPr>
        <w:tabs>
          <w:tab w:pos="567" w:val="left"/>
        </w:tabs>
        <w:ind w:left="567" w:hanging="567"/>
      </w:pPr>
      <w:r>
        <w:rPr>
          <w:b/>
        </w:rPr>
        <w:t>3.</w:t>
        <w:tab/>
      </w:r>
      <w:r>
        <w:rPr>
          <w:b/>
          <w:i w:val="0"/>
        </w:rPr>
        <w:t>Criteria for appointment.</w:t>
      </w:r>
      <w:r>
        <w:rPr>
          <w:b w:val="0"/>
          <w:i w:val="0"/>
        </w:rPr>
        <w:t xml:space="preserve"> Qualifications, positive attributes (integrity, independence of judgment, time commitment) and the independence criteria of section 149(6) for independent directors; for KMP and senior management, </w:t>
      </w:r>
      <w:r>
        <w:rPr>
          <w:b w:val="0"/>
          <w:i w:val="0"/>
          <w:highlight w:val="yellow"/>
        </w:rPr>
        <w:t>[qualification, experience and role fit]</w:t>
      </w:r>
      <w:r>
        <w:rPr>
          <w:b w:val="0"/>
          <w:i w:val="0"/>
        </w:rPr>
        <w:t>.</w:t>
      </w:r>
    </w:p>
    <w:p>
      <w:pPr>
        <w:tabs>
          <w:tab w:pos="567" w:val="left"/>
        </w:tabs>
        <w:ind w:left="567" w:hanging="567"/>
      </w:pPr>
      <w:r>
        <w:rPr>
          <w:b/>
        </w:rPr>
        <w:t>4.</w:t>
        <w:tab/>
      </w:r>
      <w:r>
        <w:rPr>
          <w:b/>
          <w:i w:val="0"/>
        </w:rPr>
        <w:t>Remuneration principles</w:t>
      </w:r>
      <w:r>
        <w:rPr>
          <w:b w:val="0"/>
          <w:i w:val="0"/>
        </w:rPr>
        <w:t xml:space="preserve"> (s.178(4)). The level and composition of remuneration is reasonable and sufficient to attract, retain and motivate; the relationship of remuneration to performance is clear and meets benchmarks; remuneration of directors, KMP and senior management balances fixed and variable pay reflecting short- and long-term performance objectives.</w:t>
      </w:r>
    </w:p>
    <w:p>
      <w:pPr>
        <w:tabs>
          <w:tab w:pos="567" w:val="left"/>
        </w:tabs>
        <w:ind w:left="567" w:hanging="567"/>
      </w:pPr>
      <w:r>
        <w:rPr>
          <w:b/>
        </w:rPr>
        <w:t>5.</w:t>
        <w:tab/>
      </w:r>
      <w:r>
        <w:rPr>
          <w:b/>
          <w:i w:val="0"/>
        </w:rPr>
        <w:t>Executive directors.</w:t>
      </w:r>
      <w:r>
        <w:rPr>
          <w:b w:val="0"/>
          <w:i w:val="0"/>
        </w:rPr>
        <w:t xml:space="preserve"> Within section 197 and Schedule V; approved by the NRC, the Board and members as required.</w:t>
      </w:r>
    </w:p>
    <w:p>
      <w:pPr>
        <w:tabs>
          <w:tab w:pos="567" w:val="left"/>
        </w:tabs>
        <w:ind w:left="567" w:hanging="567"/>
      </w:pPr>
      <w:r>
        <w:rPr>
          <w:b/>
        </w:rPr>
        <w:t>6.</w:t>
        <w:tab/>
      </w:r>
      <w:r>
        <w:rPr>
          <w:b/>
          <w:i w:val="0"/>
        </w:rPr>
        <w:t>Non-executive and independent directors.</w:t>
      </w:r>
      <w:r>
        <w:rPr>
          <w:b w:val="0"/>
          <w:i w:val="0"/>
        </w:rPr>
        <w:t xml:space="preserve"> Sitting fees within Rule 4 of the Companies (Appointment and Remuneration of Managerial Personnel) Rules, 2014 </w:t>
      </w:r>
      <w:r>
        <w:rPr>
          <w:b w:val="0"/>
          <w:i w:val="0"/>
          <w:highlight w:val="yellow"/>
        </w:rPr>
        <w:t>[currently up to ₹1 lakh per meeting]</w:t>
      </w:r>
      <w:r>
        <w:rPr>
          <w:b w:val="0"/>
          <w:i w:val="0"/>
        </w:rPr>
        <w:t>; commission within the limits of section 197(1); no stock options to independent directors (s.149(9)).</w:t>
      </w:r>
    </w:p>
    <w:p>
      <w:pPr>
        <w:tabs>
          <w:tab w:pos="567" w:val="left"/>
        </w:tabs>
        <w:ind w:left="567" w:hanging="567"/>
      </w:pPr>
      <w:r>
        <w:rPr>
          <w:b/>
        </w:rPr>
        <w:t>7.</w:t>
        <w:tab/>
      </w:r>
      <w:r>
        <w:rPr>
          <w:b/>
          <w:i w:val="0"/>
        </w:rPr>
        <w:t>Evaluation.</w:t>
      </w:r>
      <w:r>
        <w:rPr>
          <w:b w:val="0"/>
          <w:i w:val="0"/>
        </w:rPr>
        <w:t xml:space="preserve"> Annual evaluation of the Board, its committees and individual directors by </w:t>
      </w:r>
      <w:r>
        <w:rPr>
          <w:b w:val="0"/>
          <w:i w:val="0"/>
          <w:highlight w:val="yellow"/>
        </w:rPr>
        <w:t>[the Board / NRC]</w:t>
      </w:r>
      <w:r>
        <w:rPr>
          <w:b w:val="0"/>
          <w:i w:val="0"/>
        </w:rPr>
        <w:t>, and a separate meeting of independent directors under Schedule IV.</w:t>
      </w:r>
    </w:p>
    <w:p>
      <w:pPr>
        <w:tabs>
          <w:tab w:pos="567" w:val="left"/>
        </w:tabs>
        <w:ind w:left="567" w:hanging="567"/>
      </w:pPr>
      <w:r>
        <w:rPr>
          <w:b/>
        </w:rPr>
        <w:t>8.</w:t>
        <w:tab/>
      </w:r>
      <w:r>
        <w:rPr>
          <w:b/>
          <w:i w:val="0"/>
        </w:rPr>
        <w:t>Succession.</w:t>
      </w:r>
      <w:r>
        <w:rPr>
          <w:b w:val="0"/>
          <w:i w:val="0"/>
        </w:rPr>
        <w:t xml:space="preserve"> Orderly succession for the board, KMP and senior management.</w:t>
      </w:r>
    </w:p>
    <w:p>
      <w:pPr>
        <w:tabs>
          <w:tab w:pos="567" w:val="left"/>
        </w:tabs>
        <w:ind w:left="567" w:hanging="567"/>
      </w:pPr>
      <w:r>
        <w:rPr>
          <w:b/>
        </w:rPr>
        <w:t>9.</w:t>
        <w:tab/>
      </w:r>
      <w:r>
        <w:rPr>
          <w:b/>
          <w:i w:val="0"/>
        </w:rPr>
        <w:t>Review.</w:t>
      </w:r>
      <w:r>
        <w:rPr>
          <w:b w:val="0"/>
          <w:i w:val="0"/>
        </w:rPr>
        <w:t xml:space="preserve"> The NRC reviews this policy </w:t>
      </w:r>
      <w:r>
        <w:rPr>
          <w:b w:val="0"/>
          <w:i w:val="0"/>
          <w:highlight w:val="yellow"/>
        </w:rPr>
        <w:t>[annually]</w:t>
      </w:r>
      <w:r>
        <w:rPr>
          <w:b w:val="0"/>
          <w:i w:val="0"/>
        </w:rPr>
        <w:t xml:space="preserve"> and recommends changes to the Board.</w:t>
      </w:r>
    </w:p>
    <w:p>
      <w:pPr>
        <w:pStyle w:val="Heading1"/>
      </w:pPr>
      <w:r>
        <w:t>Adoption record</w:t>
      </w:r>
    </w:p>
    <w:tbl>
      <w:tblPr>
        <w:tblStyle w:val="TableGrid"/>
        <w:tblW w:type="auto" w:w="0"/>
        <w:jc w:val="center"/>
        <w:tblLayout w:type="fixed"/>
        <w:tblLook w:firstColumn="1" w:firstRow="1" w:lastColumn="0" w:lastRow="0" w:noHBand="0" w:noVBand="1" w:val="04A0"/>
      </w:tblPr>
      <w:tblGrid>
        <w:gridCol w:w="850"/>
        <w:gridCol w:w="2835"/>
        <w:gridCol w:w="1587"/>
        <w:gridCol w:w="2551"/>
        <w:gridCol w:w="1587"/>
      </w:tblGrid>
      <w:tr>
        <w:tc>
          <w:tcPr>
            <w:tcW w:type="dxa" w:w="850"/>
            <w:shd w:val="clear" w:color="auto" w:fill="4B2FA8"/>
          </w:tcPr>
          <w:p>
            <w:r/>
            <w:r>
              <w:rPr>
                <w:b/>
                <w:i w:val="0"/>
                <w:color w:val="FFFFFF"/>
                <w:sz w:val="18"/>
              </w:rPr>
              <w:t>Policy</w:t>
            </w:r>
          </w:p>
        </w:tc>
        <w:tc>
          <w:tcPr>
            <w:tcW w:type="dxa" w:w="2835"/>
            <w:shd w:val="clear" w:color="auto" w:fill="4B2FA8"/>
          </w:tcPr>
          <w:p>
            <w:r/>
            <w:r>
              <w:rPr>
                <w:b/>
                <w:i w:val="0"/>
                <w:color w:val="FFFFFF"/>
                <w:sz w:val="18"/>
              </w:rPr>
              <w:t>Approved by</w:t>
            </w:r>
          </w:p>
        </w:tc>
        <w:tc>
          <w:tcPr>
            <w:tcW w:type="dxa" w:w="1587"/>
            <w:shd w:val="clear" w:color="auto" w:fill="4B2FA8"/>
          </w:tcPr>
          <w:p>
            <w:r/>
            <w:r>
              <w:rPr>
                <w:b/>
                <w:i w:val="0"/>
                <w:color w:val="FFFFFF"/>
                <w:sz w:val="18"/>
              </w:rPr>
              <w:t>Date</w:t>
            </w:r>
          </w:p>
        </w:tc>
        <w:tc>
          <w:tcPr>
            <w:tcW w:type="dxa" w:w="2551"/>
            <w:shd w:val="clear" w:color="auto" w:fill="4B2FA8"/>
          </w:tcPr>
          <w:p>
            <w:r/>
            <w:r>
              <w:rPr>
                <w:b/>
                <w:i w:val="0"/>
                <w:color w:val="FFFFFF"/>
                <w:sz w:val="18"/>
              </w:rPr>
              <w:t>Website link</w:t>
            </w:r>
          </w:p>
        </w:tc>
        <w:tc>
          <w:tcPr>
            <w:tcW w:type="dxa" w:w="1587"/>
            <w:shd w:val="clear" w:color="auto" w:fill="4B2FA8"/>
          </w:tcPr>
          <w:p>
            <w:r/>
            <w:r>
              <w:rPr>
                <w:b/>
                <w:i w:val="0"/>
                <w:color w:val="FFFFFF"/>
                <w:sz w:val="18"/>
              </w:rPr>
              <w:t>Next review</w:t>
            </w:r>
          </w:p>
        </w:tc>
      </w:tr>
      <w:tr>
        <w:tc>
          <w:tcPr>
            <w:tcW w:type="dxa" w:w="850"/>
          </w:tcPr>
          <w:p>
            <w:r/>
            <w:r>
              <w:rPr>
                <w:b w:val="0"/>
                <w:i w:val="0"/>
                <w:sz w:val="18"/>
              </w:rPr>
              <w:t>1</w:t>
            </w:r>
          </w:p>
        </w:tc>
        <w:tc>
          <w:tcPr>
            <w:tcW w:type="dxa" w:w="2835"/>
          </w:tcPr>
          <w:p>
            <w:r/>
            <w:r>
              <w:rPr>
                <w:b w:val="0"/>
                <w:i w:val="0"/>
                <w:sz w:val="18"/>
                <w:highlight w:val="yellow"/>
              </w:rPr>
              <w:t>[Board / Audit Committee]</w:t>
            </w:r>
          </w:p>
        </w:tc>
        <w:tc>
          <w:tcPr>
            <w:tcW w:type="dxa" w:w="1587"/>
          </w:tcPr>
          <w:p>
            <w:r/>
            <w:r>
              <w:rPr>
                <w:b w:val="0"/>
                <w:i w:val="0"/>
                <w:sz w:val="18"/>
                <w:highlight w:val="yellow"/>
              </w:rPr>
              <w:t>[ ]</w:t>
            </w:r>
          </w:p>
        </w:tc>
        <w:tc>
          <w:tcPr>
            <w:tcW w:type="dxa" w:w="2551"/>
          </w:tcPr>
          <w:p>
            <w:r/>
            <w:r>
              <w:rPr>
                <w:b w:val="0"/>
                <w:i w:val="0"/>
                <w:sz w:val="18"/>
                <w:highlight w:val="yellow"/>
              </w:rPr>
              <w:t>[ ]</w:t>
            </w:r>
          </w:p>
        </w:tc>
        <w:tc>
          <w:tcPr>
            <w:tcW w:type="dxa" w:w="1587"/>
          </w:tcPr>
          <w:p>
            <w:r/>
            <w:r>
              <w:rPr>
                <w:b w:val="0"/>
                <w:i w:val="0"/>
                <w:sz w:val="18"/>
                <w:highlight w:val="yellow"/>
              </w:rPr>
              <w:t>[ ]</w:t>
            </w:r>
          </w:p>
        </w:tc>
      </w:tr>
      <w:tr>
        <w:tc>
          <w:tcPr>
            <w:tcW w:type="dxa" w:w="850"/>
          </w:tcPr>
          <w:p>
            <w:r/>
            <w:r>
              <w:rPr>
                <w:b w:val="0"/>
                <w:i w:val="0"/>
                <w:sz w:val="18"/>
              </w:rPr>
              <w:t>2</w:t>
            </w:r>
          </w:p>
        </w:tc>
        <w:tc>
          <w:tcPr>
            <w:tcW w:type="dxa" w:w="2835"/>
          </w:tcPr>
          <w:p>
            <w:r/>
            <w:r>
              <w:rPr>
                <w:b w:val="0"/>
                <w:i w:val="0"/>
                <w:sz w:val="18"/>
                <w:highlight w:val="yellow"/>
              </w:rPr>
              <w:t>[Board / Audit Committee]</w:t>
            </w:r>
          </w:p>
        </w:tc>
        <w:tc>
          <w:tcPr>
            <w:tcW w:type="dxa" w:w="1587"/>
          </w:tcPr>
          <w:p>
            <w:r/>
            <w:r>
              <w:rPr>
                <w:b w:val="0"/>
                <w:i w:val="0"/>
                <w:sz w:val="18"/>
                <w:highlight w:val="yellow"/>
              </w:rPr>
              <w:t>[ ]</w:t>
            </w:r>
          </w:p>
        </w:tc>
        <w:tc>
          <w:tcPr>
            <w:tcW w:type="dxa" w:w="2551"/>
          </w:tcPr>
          <w:p>
            <w:r/>
            <w:r>
              <w:rPr>
                <w:b w:val="0"/>
                <w:i w:val="0"/>
                <w:sz w:val="18"/>
                <w:highlight w:val="yellow"/>
              </w:rPr>
              <w:t>[ ]</w:t>
            </w:r>
          </w:p>
        </w:tc>
        <w:tc>
          <w:tcPr>
            <w:tcW w:type="dxa" w:w="1587"/>
          </w:tcPr>
          <w:p>
            <w:r/>
            <w:r>
              <w:rPr>
                <w:b w:val="0"/>
                <w:i w:val="0"/>
                <w:sz w:val="18"/>
                <w:highlight w:val="yellow"/>
              </w:rPr>
              <w:t>[ ]</w:t>
            </w:r>
          </w:p>
        </w:tc>
      </w:tr>
      <w:tr>
        <w:tc>
          <w:tcPr>
            <w:tcW w:type="dxa" w:w="850"/>
          </w:tcPr>
          <w:p>
            <w:r/>
            <w:r>
              <w:rPr>
                <w:b w:val="0"/>
                <w:i w:val="0"/>
                <w:sz w:val="18"/>
              </w:rPr>
              <w:t>3</w:t>
            </w:r>
          </w:p>
        </w:tc>
        <w:tc>
          <w:tcPr>
            <w:tcW w:type="dxa" w:w="2835"/>
          </w:tcPr>
          <w:p>
            <w:r/>
            <w:r>
              <w:rPr>
                <w:b w:val="0"/>
                <w:i w:val="0"/>
                <w:sz w:val="18"/>
                <w:highlight w:val="yellow"/>
              </w:rPr>
              <w:t>[Board / Audit Committee]</w:t>
            </w:r>
          </w:p>
        </w:tc>
        <w:tc>
          <w:tcPr>
            <w:tcW w:type="dxa" w:w="1587"/>
          </w:tcPr>
          <w:p>
            <w:r/>
            <w:r>
              <w:rPr>
                <w:b w:val="0"/>
                <w:i w:val="0"/>
                <w:sz w:val="18"/>
                <w:highlight w:val="yellow"/>
              </w:rPr>
              <w:t>[ ]</w:t>
            </w:r>
          </w:p>
        </w:tc>
        <w:tc>
          <w:tcPr>
            <w:tcW w:type="dxa" w:w="2551"/>
          </w:tcPr>
          <w:p>
            <w:r/>
            <w:r>
              <w:rPr>
                <w:b w:val="0"/>
                <w:i w:val="0"/>
                <w:sz w:val="18"/>
                <w:highlight w:val="yellow"/>
              </w:rPr>
              <w:t>[ ]</w:t>
            </w:r>
          </w:p>
        </w:tc>
        <w:tc>
          <w:tcPr>
            <w:tcW w:type="dxa" w:w="1587"/>
          </w:tcPr>
          <w:p>
            <w:r/>
            <w:r>
              <w:rPr>
                <w:b w:val="0"/>
                <w:i w:val="0"/>
                <w:sz w:val="18"/>
                <w:highlight w:val="yellow"/>
              </w:rPr>
              <w:t>[ ]</w:t>
            </w:r>
          </w:p>
        </w:tc>
      </w:tr>
      <w:tr>
        <w:tc>
          <w:tcPr>
            <w:tcW w:type="dxa" w:w="850"/>
          </w:tcPr>
          <w:p>
            <w:r/>
            <w:r>
              <w:rPr>
                <w:b w:val="0"/>
                <w:i w:val="0"/>
                <w:sz w:val="18"/>
              </w:rPr>
              <w:t>4</w:t>
            </w:r>
          </w:p>
        </w:tc>
        <w:tc>
          <w:tcPr>
            <w:tcW w:type="dxa" w:w="2835"/>
          </w:tcPr>
          <w:p>
            <w:r/>
            <w:r>
              <w:rPr>
                <w:b w:val="0"/>
                <w:i w:val="0"/>
                <w:sz w:val="18"/>
                <w:highlight w:val="yellow"/>
              </w:rPr>
              <w:t>[Board / Audit Committee]</w:t>
            </w:r>
          </w:p>
        </w:tc>
        <w:tc>
          <w:tcPr>
            <w:tcW w:type="dxa" w:w="1587"/>
          </w:tcPr>
          <w:p>
            <w:r/>
            <w:r>
              <w:rPr>
                <w:b w:val="0"/>
                <w:i w:val="0"/>
                <w:sz w:val="18"/>
                <w:highlight w:val="yellow"/>
              </w:rPr>
              <w:t>[ ]</w:t>
            </w:r>
          </w:p>
        </w:tc>
        <w:tc>
          <w:tcPr>
            <w:tcW w:type="dxa" w:w="2551"/>
          </w:tcPr>
          <w:p>
            <w:r/>
            <w:r>
              <w:rPr>
                <w:b w:val="0"/>
                <w:i w:val="0"/>
                <w:sz w:val="18"/>
                <w:highlight w:val="yellow"/>
              </w:rPr>
              <w:t>[ ]</w:t>
            </w:r>
          </w:p>
        </w:tc>
        <w:tc>
          <w:tcPr>
            <w:tcW w:type="dxa" w:w="1587"/>
          </w:tcPr>
          <w:p>
            <w:r/>
            <w:r>
              <w:rPr>
                <w:b w:val="0"/>
                <w:i w:val="0"/>
                <w:sz w:val="18"/>
                <w:highlight w:val="yellow"/>
              </w:rPr>
              <w:t>[ ]</w:t>
            </w:r>
          </w:p>
        </w:tc>
      </w:tr>
      <w:tr>
        <w:tc>
          <w:tcPr>
            <w:tcW w:type="dxa" w:w="850"/>
          </w:tcPr>
          <w:p>
            <w:r/>
            <w:r>
              <w:rPr>
                <w:b w:val="0"/>
                <w:i w:val="0"/>
                <w:sz w:val="18"/>
              </w:rPr>
              <w:t>5</w:t>
            </w:r>
          </w:p>
        </w:tc>
        <w:tc>
          <w:tcPr>
            <w:tcW w:type="dxa" w:w="2835"/>
          </w:tcPr>
          <w:p>
            <w:r/>
            <w:r>
              <w:rPr>
                <w:b w:val="0"/>
                <w:i w:val="0"/>
                <w:sz w:val="18"/>
                <w:highlight w:val="yellow"/>
              </w:rPr>
              <w:t>[Board / Audit Committee]</w:t>
            </w:r>
          </w:p>
        </w:tc>
        <w:tc>
          <w:tcPr>
            <w:tcW w:type="dxa" w:w="1587"/>
          </w:tcPr>
          <w:p>
            <w:r/>
            <w:r>
              <w:rPr>
                <w:b w:val="0"/>
                <w:i w:val="0"/>
                <w:sz w:val="18"/>
                <w:highlight w:val="yellow"/>
              </w:rPr>
              <w:t>[ ]</w:t>
            </w:r>
          </w:p>
        </w:tc>
        <w:tc>
          <w:tcPr>
            <w:tcW w:type="dxa" w:w="2551"/>
          </w:tcPr>
          <w:p>
            <w:r/>
            <w:r>
              <w:rPr>
                <w:b w:val="0"/>
                <w:i w:val="0"/>
                <w:sz w:val="18"/>
                <w:highlight w:val="yellow"/>
              </w:rPr>
              <w:t>[ ]</w:t>
            </w:r>
          </w:p>
        </w:tc>
        <w:tc>
          <w:tcPr>
            <w:tcW w:type="dxa" w:w="1587"/>
          </w:tcPr>
          <w:p>
            <w:r/>
            <w:r>
              <w:rPr>
                <w:b w:val="0"/>
                <w:i w:val="0"/>
                <w:sz w:val="18"/>
                <w:highlight w:val="yellow"/>
              </w:rPr>
              <w:t>[ ]</w:t>
            </w:r>
          </w:p>
        </w:tc>
      </w:tr>
      <w:tr>
        <w:tc>
          <w:tcPr>
            <w:tcW w:type="dxa" w:w="850"/>
          </w:tcPr>
          <w:p>
            <w:r/>
            <w:r>
              <w:rPr>
                <w:b w:val="0"/>
                <w:i w:val="0"/>
                <w:sz w:val="18"/>
              </w:rPr>
              <w:t>6</w:t>
            </w:r>
          </w:p>
        </w:tc>
        <w:tc>
          <w:tcPr>
            <w:tcW w:type="dxa" w:w="2835"/>
          </w:tcPr>
          <w:p>
            <w:r/>
            <w:r>
              <w:rPr>
                <w:b w:val="0"/>
                <w:i w:val="0"/>
                <w:sz w:val="18"/>
                <w:highlight w:val="yellow"/>
              </w:rPr>
              <w:t>[Board / Audit Committee]</w:t>
            </w:r>
          </w:p>
        </w:tc>
        <w:tc>
          <w:tcPr>
            <w:tcW w:type="dxa" w:w="1587"/>
          </w:tcPr>
          <w:p>
            <w:r/>
            <w:r>
              <w:rPr>
                <w:b w:val="0"/>
                <w:i w:val="0"/>
                <w:sz w:val="18"/>
                <w:highlight w:val="yellow"/>
              </w:rPr>
              <w:t>[ ]</w:t>
            </w:r>
          </w:p>
        </w:tc>
        <w:tc>
          <w:tcPr>
            <w:tcW w:type="dxa" w:w="2551"/>
          </w:tcPr>
          <w:p>
            <w:r/>
            <w:r>
              <w:rPr>
                <w:b w:val="0"/>
                <w:i w:val="0"/>
                <w:sz w:val="18"/>
                <w:highlight w:val="yellow"/>
              </w:rPr>
              <w:t>[ ]</w:t>
            </w:r>
          </w:p>
        </w:tc>
        <w:tc>
          <w:tcPr>
            <w:tcW w:type="dxa" w:w="1587"/>
          </w:tcPr>
          <w:p>
            <w:r/>
            <w:r>
              <w:rPr>
                <w:b w:val="0"/>
                <w:i w:val="0"/>
                <w:sz w:val="18"/>
                <w:highlight w:val="yellow"/>
              </w:rPr>
              <w:t>[ ]</w:t>
            </w:r>
          </w:p>
        </w:tc>
      </w:tr>
      <w:tr>
        <w:tc>
          <w:tcPr>
            <w:tcW w:type="dxa" w:w="850"/>
          </w:tcPr>
          <w:p>
            <w:r/>
            <w:r>
              <w:rPr>
                <w:b w:val="0"/>
                <w:i w:val="0"/>
                <w:sz w:val="18"/>
              </w:rPr>
              <w:t>7</w:t>
            </w:r>
          </w:p>
        </w:tc>
        <w:tc>
          <w:tcPr>
            <w:tcW w:type="dxa" w:w="2835"/>
          </w:tcPr>
          <w:p>
            <w:r/>
            <w:r>
              <w:rPr>
                <w:b w:val="0"/>
                <w:i w:val="0"/>
                <w:sz w:val="18"/>
                <w:highlight w:val="yellow"/>
              </w:rPr>
              <w:t>[Board / Audit Committee]</w:t>
            </w:r>
          </w:p>
        </w:tc>
        <w:tc>
          <w:tcPr>
            <w:tcW w:type="dxa" w:w="1587"/>
          </w:tcPr>
          <w:p>
            <w:r/>
            <w:r>
              <w:rPr>
                <w:b w:val="0"/>
                <w:i w:val="0"/>
                <w:sz w:val="18"/>
                <w:highlight w:val="yellow"/>
              </w:rPr>
              <w:t>[ ]</w:t>
            </w:r>
          </w:p>
        </w:tc>
        <w:tc>
          <w:tcPr>
            <w:tcW w:type="dxa" w:w="2551"/>
          </w:tcPr>
          <w:p>
            <w:r/>
            <w:r>
              <w:rPr>
                <w:b w:val="0"/>
                <w:i w:val="0"/>
                <w:sz w:val="18"/>
                <w:highlight w:val="yellow"/>
              </w:rPr>
              <w:t>[ ]</w:t>
            </w:r>
          </w:p>
        </w:tc>
        <w:tc>
          <w:tcPr>
            <w:tcW w:type="dxa" w:w="1587"/>
          </w:tcPr>
          <w:p>
            <w:r/>
            <w:r>
              <w:rPr>
                <w:b w:val="0"/>
                <w:i w:val="0"/>
                <w:sz w:val="18"/>
                <w:highlight w:val="yellow"/>
              </w:rPr>
              <w:t>[ ]</w:t>
            </w:r>
          </w:p>
        </w:tc>
      </w:tr>
    </w:tbl>
    <w:p>
      <w:pPr>
        <w:spacing w:after="40"/>
      </w:pPr>
    </w:p>
    <w:p>
      <w:pPr>
        <w:pStyle w:val="Heading1"/>
      </w:pPr>
      <w:r>
        <w:t>Disclaimer</w:t>
      </w:r>
    </w:p>
    <w:p>
      <w:r>
        <w:rPr>
          <w:b w:val="0"/>
          <w:i w:val="0"/>
          <w:sz w:val="19"/>
        </w:rPr>
        <w:t>Model policies published on vikashkhanal.in as a working aid. They are not legal advice. SEBI amends the LODR and PIT Regulations frequently; check the latest consolidated text on sebi.gov.in and the exchange's circulars, and adapt with your company secretary before adoption. Last reviewed 6 October 2026.</w:t>
      </w:r>
    </w:p>
    <w:sectPr w:rsidR="00FC693F" w:rsidRPr="0006063C" w:rsidSect="00034616">
      <w:footerReference w:type="default" r:id="rId9"/>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55555"/>
        <w:sz w:val="16"/>
      </w:rPr>
      <w:t xml:space="preserve">vikashkhanal.in · LODR &amp; PIT policy pack · last reviewed 6 Oct 2026 · not legal advice  ·  Page </w:t>
    </w:r>
    <w:r>
      <w:rPr>
        <w:color w:val="555555"/>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80"/>
      <w:outlineLvl w:val="0"/>
    </w:pPr>
    <w:rPr>
      <w:rFonts w:ascii="Calibri" w:hAnsi="Calibri" w:eastAsia="Calibri" w:cs="Calibri"/>
      <w:b/>
      <w:bCs/>
      <w:color w:val="4B2FA8"/>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eastAsia="Calibri" w:cs="Calibri"/>
      <w:b/>
      <w:bCs/>
      <w:color w:val="4B2FA8"/>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Calibri" w:hAnsi="Calibri" w:eastAsia="Calibri" w:cs="Calibri"/>
      <w:b/>
      <w:bCs/>
      <w:color w:val="222222"/>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color w:val="4B2FA8"/>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LODR and insider-trading policies for an SME-listed company</dc:title>
  <dc:subject/>
  <dc:creator>Vikash Khanal (vikashkhanal.in)</dc:creator>
  <cp:keywords/>
  <dc:description>Free template. Last reviewed 6 October 2026. Not legal advice.</dc:description>
  <cp:lastModifiedBy/>
  <cp:revision>1</cp:revision>
  <dcterms:created xsi:type="dcterms:W3CDTF">2013-12-23T23:15:00Z</dcterms:created>
  <dcterms:modified xsi:type="dcterms:W3CDTF">2013-12-23T23:15:00Z</dcterms:modified>
  <cp:category/>
</cp:coreProperties>
</file>