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Board and shareholder resolution formats for an SME IPO</w:t>
      </w:r>
    </w:p>
    <w:p>
      <w:r>
        <w:rPr>
          <w:b w:val="0"/>
          <w:i/>
          <w:color w:val="555555"/>
        </w:rPr>
        <w:t>Formats for a company moving from private limited to listing on BSE SME or NSE Emerge. Companies Act 2013, SEBI ICDR Regulations 2018 (Chapter IX) and SEBI LODR Regulations 2015, as on 6 October 2026.</w:t>
      </w:r>
    </w:p>
    <w:tbl>
      <w:tblPr>
        <w:tblStyle w:val="TableGrid"/>
        <w:tblW w:type="auto" w:w="0"/>
        <w:tblLook w:firstColumn="1" w:firstRow="1" w:lastColumn="0" w:lastRow="0" w:noHBand="0" w:noVBand="1" w:val="04A0"/>
      </w:tblPr>
      <w:tblGrid>
        <w:gridCol w:w="9412"/>
      </w:tblGrid>
      <w:tr>
        <w:tc>
          <w:tcPr>
            <w:tcW w:type="dxa" w:w="9412"/>
            <w:shd w:val="clear" w:color="auto" w:fill="F3F1F9"/>
          </w:tcPr>
          <w:p>
            <w:r/>
            <w:r>
              <w:rPr>
                <w:b/>
                <w:i w:val="0"/>
                <w:color w:val="4B2FA8"/>
              </w:rPr>
              <w:t>Read this first</w:t>
            </w:r>
          </w:p>
          <w:p>
            <w:pPr>
              <w:spacing w:after="60"/>
            </w:pPr>
            <w:r>
              <w:rPr>
                <w:b w:val="0"/>
                <w:i w:val="0"/>
                <w:sz w:val="19"/>
              </w:rPr>
              <w:t>These are formats, not advice. Adapt every resolution with your company secretary and the lead manager's legal counsel to your articles, your facts and the meeting you are holding. Check quorum, notice periods, interested-director rules and the explanatory statement under s.102 before use.</w:t>
            </w:r>
          </w:p>
          <w:p>
            <w:pPr>
              <w:spacing w:after="60"/>
            </w:pPr>
            <w:r>
              <w:rPr>
                <w:b w:val="0"/>
                <w:i w:val="0"/>
                <w:sz w:val="19"/>
              </w:rPr>
              <w:t xml:space="preserve">Text in </w:t>
            </w:r>
            <w:r>
              <w:rPr>
                <w:b w:val="0"/>
                <w:i w:val="0"/>
                <w:sz w:val="19"/>
                <w:highlight w:val="yellow"/>
              </w:rPr>
              <w:t>[square brackets with yellow highlight]</w:t>
            </w:r>
            <w:r>
              <w:rPr>
                <w:b w:val="0"/>
                <w:i w:val="0"/>
                <w:sz w:val="19"/>
              </w:rPr>
              <w:t xml:space="preserve"> is a placeholder. Delete the alternatives that do not apply.</w:t>
            </w:r>
          </w:p>
          <w:p>
            <w:pPr>
              <w:spacing w:after="60"/>
            </w:pPr>
            <w:r>
              <w:rPr>
                <w:b w:val="0"/>
                <w:i w:val="0"/>
                <w:sz w:val="19"/>
              </w:rPr>
              <w:t>Sections cited are of the Companies Act 2013 unless stated. Rules, forms and fees change; confirm the current e-form and time limit on the MCA21 V3 portal before filing.</w:t>
            </w:r>
          </w:p>
          <w:p>
            <w:pPr>
              <w:spacing w:after="60"/>
            </w:pPr>
            <w:r>
              <w:rPr>
                <w:b w:val="0"/>
                <w:i w:val="0"/>
                <w:sz w:val="19"/>
              </w:rPr>
              <w:t>Prepared by Vikash Khanal (vikashkhanal.in). Not a company secretary's or lawyer's opinion. No liability is accepted for use without professional review.</w:t>
            </w:r>
          </w:p>
        </w:tc>
      </w:tr>
    </w:tbl>
    <w:p>
      <w:pPr>
        <w:spacing w:after="40"/>
      </w:pPr>
    </w:p>
    <w:p>
      <w:pPr>
        <w:pStyle w:val="Heading1"/>
      </w:pPr>
      <w:r>
        <w:t>Contents and filing map</w:t>
      </w:r>
    </w:p>
    <w:tbl>
      <w:tblPr>
        <w:tblStyle w:val="TableGrid"/>
        <w:tblW w:type="auto" w:w="0"/>
        <w:jc w:val="center"/>
        <w:tblLayout w:type="fixed"/>
        <w:tblLook w:firstColumn="1" w:firstRow="1" w:lastColumn="0" w:lastRow="0" w:noHBand="0" w:noVBand="1" w:val="04A0"/>
      </w:tblPr>
      <w:tblGrid>
        <w:gridCol w:w="454"/>
        <w:gridCol w:w="3402"/>
        <w:gridCol w:w="2948"/>
        <w:gridCol w:w="2608"/>
      </w:tblGrid>
      <w:tr>
        <w:tc>
          <w:tcPr>
            <w:tcW w:type="dxa" w:w="454"/>
            <w:shd w:val="clear" w:color="auto" w:fill="4B2FA8"/>
          </w:tcPr>
          <w:p>
            <w:r/>
            <w:r>
              <w:rPr>
                <w:b/>
                <w:i w:val="0"/>
                <w:color w:val="FFFFFF"/>
                <w:sz w:val="18"/>
              </w:rPr>
              <w:t>#</w:t>
            </w:r>
          </w:p>
        </w:tc>
        <w:tc>
          <w:tcPr>
            <w:tcW w:type="dxa" w:w="3402"/>
            <w:shd w:val="clear" w:color="auto" w:fill="4B2FA8"/>
          </w:tcPr>
          <w:p>
            <w:r/>
            <w:r>
              <w:rPr>
                <w:b/>
                <w:i w:val="0"/>
                <w:color w:val="FFFFFF"/>
                <w:sz w:val="18"/>
              </w:rPr>
              <w:t>Resolution</w:t>
            </w:r>
          </w:p>
        </w:tc>
        <w:tc>
          <w:tcPr>
            <w:tcW w:type="dxa" w:w="2948"/>
            <w:shd w:val="clear" w:color="auto" w:fill="4B2FA8"/>
          </w:tcPr>
          <w:p>
            <w:r/>
            <w:r>
              <w:rPr>
                <w:b/>
                <w:i w:val="0"/>
                <w:color w:val="FFFFFF"/>
                <w:sz w:val="18"/>
              </w:rPr>
              <w:t>Who passes it</w:t>
            </w:r>
          </w:p>
        </w:tc>
        <w:tc>
          <w:tcPr>
            <w:tcW w:type="dxa" w:w="2608"/>
            <w:shd w:val="clear" w:color="auto" w:fill="4B2FA8"/>
          </w:tcPr>
          <w:p>
            <w:r/>
            <w:r>
              <w:rPr>
                <w:b/>
                <w:i w:val="0"/>
                <w:color w:val="FFFFFF"/>
                <w:sz w:val="18"/>
              </w:rPr>
              <w:t>Usual MCA filing</w:t>
            </w:r>
          </w:p>
        </w:tc>
      </w:tr>
      <w:tr>
        <w:tc>
          <w:tcPr>
            <w:tcW w:type="dxa" w:w="454"/>
          </w:tcPr>
          <w:p>
            <w:r/>
            <w:r>
              <w:rPr>
                <w:b w:val="0"/>
                <w:i w:val="0"/>
                <w:sz w:val="18"/>
              </w:rPr>
              <w:t>1</w:t>
            </w:r>
          </w:p>
        </w:tc>
        <w:tc>
          <w:tcPr>
            <w:tcW w:type="dxa" w:w="3402"/>
          </w:tcPr>
          <w:p>
            <w:r/>
            <w:r>
              <w:rPr>
                <w:b w:val="0"/>
                <w:i w:val="0"/>
                <w:sz w:val="18"/>
              </w:rPr>
              <w:t>Conversion into a public company</w:t>
            </w:r>
          </w:p>
        </w:tc>
        <w:tc>
          <w:tcPr>
            <w:tcW w:type="dxa" w:w="2948"/>
          </w:tcPr>
          <w:p>
            <w:r/>
            <w:r>
              <w:rPr>
                <w:b w:val="0"/>
                <w:i w:val="0"/>
                <w:sz w:val="18"/>
              </w:rPr>
              <w:t>Board, then members by special resolution (s.14)</w:t>
            </w:r>
          </w:p>
        </w:tc>
        <w:tc>
          <w:tcPr>
            <w:tcW w:type="dxa" w:w="2608"/>
          </w:tcPr>
          <w:p>
            <w:r/>
            <w:r>
              <w:rPr>
                <w:b w:val="0"/>
                <w:i w:val="0"/>
                <w:sz w:val="18"/>
              </w:rPr>
              <w:t>MGT-14 within 30 days; INC-27 for conversion</w:t>
            </w:r>
          </w:p>
        </w:tc>
      </w:tr>
      <w:tr>
        <w:tc>
          <w:tcPr>
            <w:tcW w:type="dxa" w:w="454"/>
          </w:tcPr>
          <w:p>
            <w:r/>
            <w:r>
              <w:rPr>
                <w:b w:val="0"/>
                <w:i w:val="0"/>
                <w:sz w:val="18"/>
              </w:rPr>
              <w:t>2</w:t>
            </w:r>
          </w:p>
        </w:tc>
        <w:tc>
          <w:tcPr>
            <w:tcW w:type="dxa" w:w="3402"/>
          </w:tcPr>
          <w:p>
            <w:r/>
            <w:r>
              <w:rPr>
                <w:b w:val="0"/>
                <w:i w:val="0"/>
                <w:sz w:val="18"/>
              </w:rPr>
              <w:t>Increase in authorised share capital</w:t>
            </w:r>
          </w:p>
        </w:tc>
        <w:tc>
          <w:tcPr>
            <w:tcW w:type="dxa" w:w="2948"/>
          </w:tcPr>
          <w:p>
            <w:r/>
            <w:r>
              <w:rPr>
                <w:b w:val="0"/>
                <w:i w:val="0"/>
                <w:sz w:val="18"/>
              </w:rPr>
              <w:t>Board, then members by ordinary resolution (s.61)</w:t>
            </w:r>
          </w:p>
        </w:tc>
        <w:tc>
          <w:tcPr>
            <w:tcW w:type="dxa" w:w="2608"/>
          </w:tcPr>
          <w:p>
            <w:r/>
            <w:r>
              <w:rPr>
                <w:b w:val="0"/>
                <w:i w:val="0"/>
                <w:sz w:val="18"/>
              </w:rPr>
              <w:t>SH-7 within 30 days</w:t>
            </w:r>
          </w:p>
        </w:tc>
      </w:tr>
      <w:tr>
        <w:tc>
          <w:tcPr>
            <w:tcW w:type="dxa" w:w="454"/>
          </w:tcPr>
          <w:p>
            <w:r/>
            <w:r>
              <w:rPr>
                <w:b w:val="0"/>
                <w:i w:val="0"/>
                <w:sz w:val="18"/>
              </w:rPr>
              <w:t>3</w:t>
            </w:r>
          </w:p>
        </w:tc>
        <w:tc>
          <w:tcPr>
            <w:tcW w:type="dxa" w:w="3402"/>
          </w:tcPr>
          <w:p>
            <w:r/>
            <w:r>
              <w:rPr>
                <w:b w:val="0"/>
                <w:i w:val="0"/>
                <w:sz w:val="18"/>
              </w:rPr>
              <w:t>Appointment of an independent director</w:t>
            </w:r>
          </w:p>
        </w:tc>
        <w:tc>
          <w:tcPr>
            <w:tcW w:type="dxa" w:w="2948"/>
          </w:tcPr>
          <w:p>
            <w:r/>
            <w:r>
              <w:rPr>
                <w:b w:val="0"/>
                <w:i w:val="0"/>
                <w:sz w:val="18"/>
              </w:rPr>
              <w:t>Board (additional director on NRC recommendation), then members</w:t>
            </w:r>
          </w:p>
        </w:tc>
        <w:tc>
          <w:tcPr>
            <w:tcW w:type="dxa" w:w="2608"/>
          </w:tcPr>
          <w:p>
            <w:r/>
            <w:r>
              <w:rPr>
                <w:b w:val="0"/>
                <w:i w:val="0"/>
                <w:sz w:val="18"/>
              </w:rPr>
              <w:t>DIR-12 within 30 days</w:t>
            </w:r>
          </w:p>
        </w:tc>
      </w:tr>
      <w:tr>
        <w:tc>
          <w:tcPr>
            <w:tcW w:type="dxa" w:w="454"/>
          </w:tcPr>
          <w:p>
            <w:r/>
            <w:r>
              <w:rPr>
                <w:b w:val="0"/>
                <w:i w:val="0"/>
                <w:sz w:val="18"/>
              </w:rPr>
              <w:t>4</w:t>
            </w:r>
          </w:p>
        </w:tc>
        <w:tc>
          <w:tcPr>
            <w:tcW w:type="dxa" w:w="3402"/>
          </w:tcPr>
          <w:p>
            <w:r/>
            <w:r>
              <w:rPr>
                <w:b w:val="0"/>
                <w:i w:val="0"/>
                <w:sz w:val="18"/>
              </w:rPr>
              <w:t>Appointment of a woman director</w:t>
            </w:r>
          </w:p>
        </w:tc>
        <w:tc>
          <w:tcPr>
            <w:tcW w:type="dxa" w:w="2948"/>
          </w:tcPr>
          <w:p>
            <w:r/>
            <w:r>
              <w:rPr>
                <w:b w:val="0"/>
                <w:i w:val="0"/>
                <w:sz w:val="18"/>
              </w:rPr>
              <w:t>Board, then members</w:t>
            </w:r>
          </w:p>
        </w:tc>
        <w:tc>
          <w:tcPr>
            <w:tcW w:type="dxa" w:w="2608"/>
          </w:tcPr>
          <w:p>
            <w:r/>
            <w:r>
              <w:rPr>
                <w:b w:val="0"/>
                <w:i w:val="0"/>
                <w:sz w:val="18"/>
              </w:rPr>
              <w:t>DIR-12 within 30 days</w:t>
            </w:r>
          </w:p>
        </w:tc>
      </w:tr>
      <w:tr>
        <w:tc>
          <w:tcPr>
            <w:tcW w:type="dxa" w:w="454"/>
          </w:tcPr>
          <w:p>
            <w:r/>
            <w:r>
              <w:rPr>
                <w:b w:val="0"/>
                <w:i w:val="0"/>
                <w:sz w:val="18"/>
              </w:rPr>
              <w:t>5</w:t>
            </w:r>
          </w:p>
        </w:tc>
        <w:tc>
          <w:tcPr>
            <w:tcW w:type="dxa" w:w="3402"/>
          </w:tcPr>
          <w:p>
            <w:r/>
            <w:r>
              <w:rPr>
                <w:b w:val="0"/>
                <w:i w:val="0"/>
                <w:sz w:val="18"/>
              </w:rPr>
              <w:t>Appointment of KMP: MD / WTD, CFO, company secretary</w:t>
            </w:r>
          </w:p>
        </w:tc>
        <w:tc>
          <w:tcPr>
            <w:tcW w:type="dxa" w:w="2948"/>
          </w:tcPr>
          <w:p>
            <w:r/>
            <w:r>
              <w:rPr>
                <w:b w:val="0"/>
                <w:i w:val="0"/>
                <w:sz w:val="18"/>
              </w:rPr>
              <w:t>Board; members for MD / WTD terms and remuneration</w:t>
            </w:r>
          </w:p>
        </w:tc>
        <w:tc>
          <w:tcPr>
            <w:tcW w:type="dxa" w:w="2608"/>
          </w:tcPr>
          <w:p>
            <w:r/>
            <w:r>
              <w:rPr>
                <w:b w:val="0"/>
                <w:i w:val="0"/>
                <w:sz w:val="18"/>
              </w:rPr>
              <w:t>DIR-12; MR-1 for MD / WTD where required; MGT-14 for board resolutions under s.179(3)</w:t>
            </w:r>
          </w:p>
        </w:tc>
      </w:tr>
      <w:tr>
        <w:tc>
          <w:tcPr>
            <w:tcW w:type="dxa" w:w="454"/>
          </w:tcPr>
          <w:p>
            <w:r/>
            <w:r>
              <w:rPr>
                <w:b w:val="0"/>
                <w:i w:val="0"/>
                <w:sz w:val="18"/>
              </w:rPr>
              <w:t>6</w:t>
            </w:r>
          </w:p>
        </w:tc>
        <w:tc>
          <w:tcPr>
            <w:tcW w:type="dxa" w:w="3402"/>
          </w:tcPr>
          <w:p>
            <w:r/>
            <w:r>
              <w:rPr>
                <w:b w:val="0"/>
                <w:i w:val="0"/>
                <w:sz w:val="18"/>
              </w:rPr>
              <w:t>Constitution of audit committee, NRC and SRC</w:t>
            </w:r>
          </w:p>
        </w:tc>
        <w:tc>
          <w:tcPr>
            <w:tcW w:type="dxa" w:w="2948"/>
          </w:tcPr>
          <w:p>
            <w:r/>
            <w:r>
              <w:rPr>
                <w:b w:val="0"/>
                <w:i w:val="0"/>
                <w:sz w:val="18"/>
              </w:rPr>
              <w:t>Board</w:t>
            </w:r>
          </w:p>
        </w:tc>
        <w:tc>
          <w:tcPr>
            <w:tcW w:type="dxa" w:w="2608"/>
          </w:tcPr>
          <w:p>
            <w:r/>
            <w:r>
              <w:rPr>
                <w:b w:val="0"/>
                <w:i w:val="0"/>
                <w:sz w:val="18"/>
              </w:rPr>
              <w:t>None (disclose in board's report)</w:t>
            </w:r>
          </w:p>
        </w:tc>
      </w:tr>
      <w:tr>
        <w:tc>
          <w:tcPr>
            <w:tcW w:type="dxa" w:w="454"/>
          </w:tcPr>
          <w:p>
            <w:r/>
            <w:r>
              <w:rPr>
                <w:b w:val="0"/>
                <w:i w:val="0"/>
                <w:sz w:val="18"/>
              </w:rPr>
              <w:t>7</w:t>
            </w:r>
          </w:p>
        </w:tc>
        <w:tc>
          <w:tcPr>
            <w:tcW w:type="dxa" w:w="3402"/>
          </w:tcPr>
          <w:p>
            <w:r/>
            <w:r>
              <w:rPr>
                <w:b w:val="0"/>
                <w:i w:val="0"/>
                <w:sz w:val="18"/>
              </w:rPr>
              <w:t>Borrowing powers under s.180(1)(c)</w:t>
            </w:r>
          </w:p>
        </w:tc>
        <w:tc>
          <w:tcPr>
            <w:tcW w:type="dxa" w:w="2948"/>
          </w:tcPr>
          <w:p>
            <w:r/>
            <w:r>
              <w:rPr>
                <w:b w:val="0"/>
                <w:i w:val="0"/>
                <w:sz w:val="18"/>
              </w:rPr>
              <w:t>Members by special resolution</w:t>
            </w:r>
          </w:p>
        </w:tc>
        <w:tc>
          <w:tcPr>
            <w:tcW w:type="dxa" w:w="2608"/>
          </w:tcPr>
          <w:p>
            <w:r/>
            <w:r>
              <w:rPr>
                <w:b w:val="0"/>
                <w:i w:val="0"/>
                <w:sz w:val="18"/>
              </w:rPr>
              <w:t>MGT-14 within 30 days</w:t>
            </w:r>
          </w:p>
        </w:tc>
      </w:tr>
      <w:tr>
        <w:tc>
          <w:tcPr>
            <w:tcW w:type="dxa" w:w="454"/>
          </w:tcPr>
          <w:p>
            <w:r/>
            <w:r>
              <w:rPr>
                <w:b w:val="0"/>
                <w:i w:val="0"/>
                <w:sz w:val="18"/>
              </w:rPr>
              <w:t>8</w:t>
            </w:r>
          </w:p>
        </w:tc>
        <w:tc>
          <w:tcPr>
            <w:tcW w:type="dxa" w:w="3402"/>
          </w:tcPr>
          <w:p>
            <w:r/>
            <w:r>
              <w:rPr>
                <w:b w:val="0"/>
                <w:i w:val="0"/>
                <w:sz w:val="18"/>
              </w:rPr>
              <w:t>Approval of the IPO and filing of the DRHP</w:t>
            </w:r>
          </w:p>
        </w:tc>
        <w:tc>
          <w:tcPr>
            <w:tcW w:type="dxa" w:w="2948"/>
          </w:tcPr>
          <w:p>
            <w:r/>
            <w:r>
              <w:rPr>
                <w:b w:val="0"/>
                <w:i w:val="0"/>
                <w:sz w:val="18"/>
              </w:rPr>
              <w:t>Board, then members by special resolution (s.62(1)(c))</w:t>
            </w:r>
          </w:p>
        </w:tc>
        <w:tc>
          <w:tcPr>
            <w:tcW w:type="dxa" w:w="2608"/>
          </w:tcPr>
          <w:p>
            <w:r/>
            <w:r>
              <w:rPr>
                <w:b w:val="0"/>
                <w:i w:val="0"/>
                <w:sz w:val="18"/>
              </w:rPr>
              <w:t>MGT-14 within 30 days</w:t>
            </w:r>
          </w:p>
        </w:tc>
      </w:tr>
      <w:tr>
        <w:tc>
          <w:tcPr>
            <w:tcW w:type="dxa" w:w="454"/>
          </w:tcPr>
          <w:p>
            <w:r/>
            <w:r>
              <w:rPr>
                <w:b w:val="0"/>
                <w:i w:val="0"/>
                <w:sz w:val="18"/>
              </w:rPr>
              <w:t>9</w:t>
            </w:r>
          </w:p>
        </w:tc>
        <w:tc>
          <w:tcPr>
            <w:tcW w:type="dxa" w:w="3402"/>
          </w:tcPr>
          <w:p>
            <w:r/>
            <w:r>
              <w:rPr>
                <w:b w:val="0"/>
                <w:i w:val="0"/>
                <w:sz w:val="18"/>
              </w:rPr>
              <w:t>Appointment of lead manager, RTA, market maker and other intermediaries</w:t>
            </w:r>
          </w:p>
        </w:tc>
        <w:tc>
          <w:tcPr>
            <w:tcW w:type="dxa" w:w="2948"/>
          </w:tcPr>
          <w:p>
            <w:r/>
            <w:r>
              <w:rPr>
                <w:b w:val="0"/>
                <w:i w:val="0"/>
                <w:sz w:val="18"/>
              </w:rPr>
              <w:t>Board or IPO committee</w:t>
            </w:r>
          </w:p>
        </w:tc>
        <w:tc>
          <w:tcPr>
            <w:tcW w:type="dxa" w:w="2608"/>
          </w:tcPr>
          <w:p>
            <w:r/>
            <w:r>
              <w:rPr>
                <w:b w:val="0"/>
                <w:i w:val="0"/>
                <w:sz w:val="18"/>
              </w:rPr>
              <w:t>None</w:t>
            </w:r>
          </w:p>
        </w:tc>
      </w:tr>
      <w:tr>
        <w:tc>
          <w:tcPr>
            <w:tcW w:type="dxa" w:w="454"/>
          </w:tcPr>
          <w:p>
            <w:r/>
            <w:r>
              <w:rPr>
                <w:b w:val="0"/>
                <w:i w:val="0"/>
                <w:sz w:val="18"/>
              </w:rPr>
              <w:t>10</w:t>
            </w:r>
          </w:p>
        </w:tc>
        <w:tc>
          <w:tcPr>
            <w:tcW w:type="dxa" w:w="3402"/>
          </w:tcPr>
          <w:p>
            <w:r/>
            <w:r>
              <w:rPr>
                <w:b w:val="0"/>
                <w:i w:val="0"/>
                <w:sz w:val="18"/>
              </w:rPr>
              <w:t>Adoption of new articles of association</w:t>
            </w:r>
          </w:p>
        </w:tc>
        <w:tc>
          <w:tcPr>
            <w:tcW w:type="dxa" w:w="2948"/>
          </w:tcPr>
          <w:p>
            <w:r/>
            <w:r>
              <w:rPr>
                <w:b w:val="0"/>
                <w:i w:val="0"/>
                <w:sz w:val="18"/>
              </w:rPr>
              <w:t>Members by special resolution (s.14)</w:t>
            </w:r>
          </w:p>
        </w:tc>
        <w:tc>
          <w:tcPr>
            <w:tcW w:type="dxa" w:w="2608"/>
          </w:tcPr>
          <w:p>
            <w:r/>
            <w:r>
              <w:rPr>
                <w:b w:val="0"/>
                <w:i w:val="0"/>
                <w:sz w:val="18"/>
              </w:rPr>
              <w:t>MGT-14 within 30 days</w:t>
            </w:r>
          </w:p>
        </w:tc>
      </w:tr>
      <w:tr>
        <w:tc>
          <w:tcPr>
            <w:tcW w:type="dxa" w:w="454"/>
          </w:tcPr>
          <w:p>
            <w:r/>
            <w:r>
              <w:rPr>
                <w:b w:val="0"/>
                <w:i w:val="0"/>
                <w:sz w:val="18"/>
              </w:rPr>
              <w:t>11</w:t>
            </w:r>
          </w:p>
        </w:tc>
        <w:tc>
          <w:tcPr>
            <w:tcW w:type="dxa" w:w="3402"/>
          </w:tcPr>
          <w:p>
            <w:r/>
            <w:r>
              <w:rPr>
                <w:b w:val="0"/>
                <w:i w:val="0"/>
                <w:sz w:val="18"/>
              </w:rPr>
              <w:t>Appointment of compliance officer (LODR Reg 6)</w:t>
            </w:r>
          </w:p>
        </w:tc>
        <w:tc>
          <w:tcPr>
            <w:tcW w:type="dxa" w:w="2948"/>
          </w:tcPr>
          <w:p>
            <w:r/>
            <w:r>
              <w:rPr>
                <w:b w:val="0"/>
                <w:i w:val="0"/>
                <w:sz w:val="18"/>
              </w:rPr>
              <w:t>Board</w:t>
            </w:r>
          </w:p>
        </w:tc>
        <w:tc>
          <w:tcPr>
            <w:tcW w:type="dxa" w:w="2608"/>
          </w:tcPr>
          <w:p>
            <w:r/>
            <w:r>
              <w:rPr>
                <w:b w:val="0"/>
                <w:i w:val="0"/>
                <w:sz w:val="18"/>
              </w:rPr>
              <w:t>None; intimate exchange after listing</w:t>
            </w:r>
          </w:p>
        </w:tc>
      </w:tr>
      <w:tr>
        <w:tc>
          <w:tcPr>
            <w:tcW w:type="dxa" w:w="454"/>
          </w:tcPr>
          <w:p>
            <w:r/>
            <w:r>
              <w:rPr>
                <w:b w:val="0"/>
                <w:i w:val="0"/>
                <w:sz w:val="18"/>
              </w:rPr>
              <w:t>12</w:t>
            </w:r>
          </w:p>
        </w:tc>
        <w:tc>
          <w:tcPr>
            <w:tcW w:type="dxa" w:w="3402"/>
          </w:tcPr>
          <w:p>
            <w:r/>
            <w:r>
              <w:rPr>
                <w:b w:val="0"/>
                <w:i w:val="0"/>
                <w:sz w:val="18"/>
              </w:rPr>
              <w:t>Approval of restated financial information</w:t>
            </w:r>
          </w:p>
        </w:tc>
        <w:tc>
          <w:tcPr>
            <w:tcW w:type="dxa" w:w="2948"/>
          </w:tcPr>
          <w:p>
            <w:r/>
            <w:r>
              <w:rPr>
                <w:b w:val="0"/>
                <w:i w:val="0"/>
                <w:sz w:val="18"/>
              </w:rPr>
              <w:t>Board or IPO committee (audit committee recommendation)</w:t>
            </w:r>
          </w:p>
        </w:tc>
        <w:tc>
          <w:tcPr>
            <w:tcW w:type="dxa" w:w="2608"/>
          </w:tcPr>
          <w:p>
            <w:r/>
            <w:r>
              <w:rPr>
                <w:b w:val="0"/>
                <w:i w:val="0"/>
                <w:sz w:val="18"/>
              </w:rPr>
              <w:t>None</w:t>
            </w:r>
          </w:p>
        </w:tc>
      </w:tr>
    </w:tbl>
    <w:p>
      <w:pPr>
        <w:spacing w:after="40"/>
      </w:pPr>
    </w:p>
    <w:p>
      <w:r>
        <w:rPr>
          <w:b w:val="0"/>
          <w:i w:val="0"/>
          <w:color w:val="555555"/>
          <w:sz w:val="18"/>
        </w:rPr>
        <w:t>MGT-14 is needed for special resolutions and for the board resolutions listed in s.179(3) (s.117(3)). Private companies are exempt from MGT-14 for board resolutions; after conversion that exemption ends.</w:t>
      </w:r>
    </w:p>
    <w:p>
      <w:pPr>
        <w:pStyle w:val="Heading1"/>
      </w:pPr>
      <w:r>
        <w:t>1. Conversion of private company into public company</w:t>
      </w:r>
    </w:p>
    <w:p>
      <w:pPr>
        <w:pStyle w:val="Heading2"/>
      </w:pPr>
      <w:r>
        <w:t>1A. Board resolution: approve conversion and call a general meeting</w:t>
      </w:r>
    </w:p>
    <w:p>
      <w:r>
        <w:rPr>
          <w:b/>
          <w:i w:val="0"/>
          <w:sz w:val="19"/>
        </w:rPr>
        <w:t xml:space="preserve">CERTIFIED TRUE COPY OF THE RESOLUTION PASSED BY THE BOARD OF DIRECTORS OF </w:t>
      </w:r>
      <w:r>
        <w:rPr>
          <w:b/>
          <w:i w:val="0"/>
          <w:sz w:val="19"/>
          <w:highlight w:val="yellow"/>
        </w:rPr>
        <w:t>[COMPANY NAME]</w:t>
      </w:r>
      <w:r>
        <w:rPr>
          <w:b/>
          <w:i w:val="0"/>
          <w:sz w:val="19"/>
        </w:rPr>
        <w:t xml:space="preserve"> LIMITED (CIN: </w:t>
      </w:r>
      <w:r>
        <w:rPr>
          <w:b/>
          <w:i w:val="0"/>
          <w:sz w:val="19"/>
          <w:highlight w:val="yellow"/>
        </w:rPr>
        <w:t>[ ]</w:t>
      </w:r>
      <w:r>
        <w:rPr>
          <w:b/>
          <w:i w:val="0"/>
          <w:sz w:val="19"/>
        </w:rPr>
        <w:t xml:space="preserve">) AT ITS MEETING HELD ON </w:t>
      </w:r>
      <w:r>
        <w:rPr>
          <w:b/>
          <w:i w:val="0"/>
          <w:sz w:val="19"/>
          <w:highlight w:val="yellow"/>
        </w:rPr>
        <w:t>[day]</w:t>
      </w:r>
      <w:r>
        <w:rPr>
          <w:b/>
          <w:i w:val="0"/>
          <w:sz w:val="19"/>
        </w:rPr>
        <w:t xml:space="preserve">, </w:t>
      </w:r>
      <w:r>
        <w:rPr>
          <w:b/>
          <w:i w:val="0"/>
          <w:sz w:val="19"/>
          <w:highlight w:val="yellow"/>
        </w:rPr>
        <w:t>[date]</w:t>
      </w:r>
      <w:r>
        <w:rPr>
          <w:b/>
          <w:i w:val="0"/>
          <w:sz w:val="19"/>
        </w:rPr>
        <w:t xml:space="preserve"> at </w:t>
      </w:r>
      <w:r>
        <w:rPr>
          <w:b/>
          <w:i w:val="0"/>
          <w:sz w:val="19"/>
          <w:highlight w:val="yellow"/>
        </w:rPr>
        <w:t>[time]</w:t>
      </w:r>
      <w:r>
        <w:rPr>
          <w:b/>
          <w:i w:val="0"/>
          <w:sz w:val="19"/>
        </w:rPr>
        <w:t xml:space="preserve"> at </w:t>
      </w:r>
      <w:r>
        <w:rPr>
          <w:b/>
          <w:i w:val="0"/>
          <w:sz w:val="19"/>
          <w:highlight w:val="yellow"/>
        </w:rPr>
        <w:t>[venue / through video conferencing]</w:t>
      </w:r>
    </w:p>
    <w:p>
      <w:pPr>
        <w:ind w:left="340"/>
        <w:jc w:val="both"/>
      </w:pPr>
      <w:r>
        <w:rPr>
          <w:b/>
        </w:rPr>
        <w:t xml:space="preserve">RESOLVED </w:t>
      </w:r>
      <w:r>
        <w:rPr>
          <w:b w:val="0"/>
          <w:i w:val="0"/>
        </w:rPr>
        <w:t>THAT, subject to the approval of the members by special resolution and pursuant to sections 13, 14 and 18 of the Companies Act, 2013 read with the Companies (Incorporation) Rules, 2014 and other applicable provisions, the consent of the Board be and is hereby accorded to convert the Company from a private limited company into a public limited company and to change its name from "</w:t>
      </w:r>
      <w:r>
        <w:rPr>
          <w:b w:val="0"/>
          <w:i w:val="0"/>
          <w:highlight w:val="yellow"/>
        </w:rPr>
        <w:t>[Company Name]</w:t>
      </w:r>
      <w:r>
        <w:rPr>
          <w:b w:val="0"/>
          <w:i w:val="0"/>
        </w:rPr>
        <w:t xml:space="preserve"> Private Limited" to "</w:t>
      </w:r>
      <w:r>
        <w:rPr>
          <w:b w:val="0"/>
          <w:i w:val="0"/>
          <w:highlight w:val="yellow"/>
        </w:rPr>
        <w:t>[Company Name]</w:t>
      </w:r>
      <w:r>
        <w:rPr>
          <w:b w:val="0"/>
          <w:i w:val="0"/>
        </w:rPr>
        <w:t xml:space="preserve"> Limited" by deleting the word "Private".</w:t>
      </w:r>
    </w:p>
    <w:p>
      <w:pPr>
        <w:ind w:left="340"/>
        <w:jc w:val="both"/>
      </w:pPr>
      <w:r>
        <w:rPr>
          <w:b/>
        </w:rPr>
        <w:t xml:space="preserve">RESOLVED FURTHER </w:t>
      </w:r>
      <w:r>
        <w:rPr>
          <w:b w:val="0"/>
          <w:i w:val="0"/>
        </w:rPr>
        <w:t>THAT the draft altered Memorandum of Association and the new set of Articles of Association suitable for a public company, as placed before the Board and initialled by the Chairperson for identification, be and are hereby approved for recommendation to the members.</w:t>
      </w:r>
    </w:p>
    <w:p>
      <w:pPr>
        <w:ind w:left="340"/>
        <w:jc w:val="both"/>
      </w:pPr>
      <w:r>
        <w:rPr>
          <w:b/>
        </w:rPr>
        <w:t xml:space="preserve">RESOLVED FURTHER </w:t>
      </w:r>
      <w:r>
        <w:rPr>
          <w:b w:val="0"/>
          <w:i w:val="0"/>
        </w:rPr>
        <w:t xml:space="preserve">THAT an Extraordinary General Meeting of the members be convened on </w:t>
      </w:r>
      <w:r>
        <w:rPr>
          <w:b w:val="0"/>
          <w:i w:val="0"/>
          <w:highlight w:val="yellow"/>
        </w:rPr>
        <w:t>[date]</w:t>
      </w:r>
      <w:r>
        <w:rPr>
          <w:b w:val="0"/>
          <w:i w:val="0"/>
        </w:rPr>
        <w:t xml:space="preserve"> at </w:t>
      </w:r>
      <w:r>
        <w:rPr>
          <w:b w:val="0"/>
          <w:i w:val="0"/>
          <w:highlight w:val="yellow"/>
        </w:rPr>
        <w:t>[time]</w:t>
      </w:r>
      <w:r>
        <w:rPr>
          <w:b w:val="0"/>
          <w:i w:val="0"/>
        </w:rPr>
        <w:t xml:space="preserve"> at </w:t>
      </w:r>
      <w:r>
        <w:rPr>
          <w:b w:val="0"/>
          <w:i w:val="0"/>
          <w:highlight w:val="yellow"/>
        </w:rPr>
        <w:t>[venue / through video conferencing]</w:t>
      </w:r>
      <w:r>
        <w:rPr>
          <w:b w:val="0"/>
          <w:i w:val="0"/>
        </w:rPr>
        <w:t xml:space="preserve"> to seek the approval of the members, and the draft notice with explanatory statement under section 102, as placed before the Board, be and is hereby approved.</w:t>
      </w:r>
    </w:p>
    <w:p>
      <w:pPr>
        <w:ind w:left="340"/>
        <w:jc w:val="both"/>
      </w:pPr>
      <w:r>
        <w:rPr>
          <w:b/>
        </w:rPr>
        <w:t xml:space="preserve">RESOLVED FURTHER </w:t>
      </w:r>
      <w:r>
        <w:rPr>
          <w:b w:val="0"/>
          <w:i w:val="0"/>
        </w:rPr>
        <w:t xml:space="preserve">THAT </w:t>
      </w:r>
      <w:r>
        <w:rPr>
          <w:b w:val="0"/>
          <w:i w:val="0"/>
          <w:highlight w:val="yellow"/>
        </w:rPr>
        <w:t>[Name]</w:t>
      </w:r>
      <w:r>
        <w:rPr>
          <w:b w:val="0"/>
          <w:i w:val="0"/>
        </w:rPr>
        <w:t xml:space="preserve">, </w:t>
      </w:r>
      <w:r>
        <w:rPr>
          <w:b w:val="0"/>
          <w:i w:val="0"/>
          <w:highlight w:val="yellow"/>
        </w:rPr>
        <w:t>[Director / Company Secretary]</w:t>
      </w:r>
      <w:r>
        <w:rPr>
          <w:b w:val="0"/>
          <w:i w:val="0"/>
        </w:rPr>
        <w:t>, be and is hereby authorised to sign and issue the notice, file the necessary e-forms (including MGT-14 and INC-27) with the Registrar of Companies, and do all acts, deeds and things necessary to give effect to this resolution.</w:t>
      </w:r>
    </w:p>
    <w:p>
      <w:pPr>
        <w:spacing w:after="0"/>
      </w:pPr>
      <w:r>
        <w:rPr>
          <w:b/>
          <w:i w:val="0"/>
        </w:rPr>
        <w:t xml:space="preserve">For </w:t>
      </w:r>
      <w:r>
        <w:rPr>
          <w:b/>
          <w:i w:val="0"/>
          <w:highlight w:val="yellow"/>
        </w:rPr>
        <w:t>[Company Name]</w:t>
      </w:r>
      <w:r>
        <w:rPr>
          <w:b/>
          <w:i w:val="0"/>
        </w:rPr>
        <w:t xml:space="preserve"> Limited</w:t>
      </w:r>
    </w:p>
    <w:p>
      <w:pPr>
        <w:spacing w:after="0"/>
      </w:pPr>
    </w:p>
    <w:p>
      <w:pPr>
        <w:spacing w:after="0"/>
      </w:pPr>
    </w:p>
    <w:p>
      <w:pPr>
        <w:spacing w:after="0"/>
      </w:pPr>
      <w:r>
        <w:rPr>
          <w:b w:val="0"/>
          <w:i w:val="0"/>
          <w:highlight w:val="yellow"/>
        </w:rPr>
        <w:t>[Name]</w:t>
      </w:r>
    </w:p>
    <w:p>
      <w:pPr>
        <w:spacing w:after="0"/>
      </w:pPr>
      <w:r>
        <w:rPr>
          <w:b w:val="0"/>
          <w:i w:val="0"/>
          <w:highlight w:val="yellow"/>
        </w:rPr>
        <w:t>[Director / Company Secretary]</w:t>
      </w:r>
    </w:p>
    <w:p>
      <w:pPr>
        <w:spacing w:after="0"/>
      </w:pPr>
      <w:r>
        <w:rPr>
          <w:b w:val="0"/>
          <w:i w:val="0"/>
        </w:rPr>
        <w:t xml:space="preserve">DIN / Membership No.: </w:t>
      </w:r>
      <w:r>
        <w:rPr>
          <w:b w:val="0"/>
          <w:i w:val="0"/>
          <w:highlight w:val="yellow"/>
        </w:rPr>
        <w:t>[ ]</w:t>
      </w:r>
    </w:p>
    <w:p>
      <w:pPr>
        <w:spacing w:after="0"/>
      </w:pPr>
      <w:r>
        <w:rPr>
          <w:b w:val="0"/>
          <w:i w:val="0"/>
        </w:rPr>
        <w:t xml:space="preserve">Place: </w:t>
      </w:r>
      <w:r>
        <w:rPr>
          <w:b w:val="0"/>
          <w:i w:val="0"/>
          <w:highlight w:val="yellow"/>
        </w:rPr>
        <w:t>[ ]</w:t>
      </w:r>
    </w:p>
    <w:p>
      <w:pPr>
        <w:spacing w:after="0"/>
      </w:pPr>
      <w:r>
        <w:rPr>
          <w:b w:val="0"/>
          <w:i w:val="0"/>
        </w:rPr>
        <w:t xml:space="preserve">Date: </w:t>
      </w:r>
      <w:r>
        <w:rPr>
          <w:b w:val="0"/>
          <w:i w:val="0"/>
          <w:highlight w:val="yellow"/>
        </w:rPr>
        <w:t>[ ]</w:t>
      </w:r>
    </w:p>
    <w:p/>
    <w:p>
      <w:pPr>
        <w:pStyle w:val="Heading2"/>
      </w:pPr>
      <w:r>
        <w:t>1B. Special resolution of members (s.14)</w:t>
      </w:r>
    </w:p>
    <w:p>
      <w:pPr>
        <w:ind w:left="340"/>
        <w:jc w:val="both"/>
      </w:pPr>
      <w:r>
        <w:rPr>
          <w:b/>
        </w:rPr>
        <w:t xml:space="preserve">RESOLVED </w:t>
      </w:r>
      <w:r>
        <w:rPr>
          <w:b w:val="0"/>
          <w:i w:val="0"/>
        </w:rPr>
        <w:t>THAT pursuant to sections 13, 14 and 18 and other applicable provisions of the Companies Act, 2013 read with the rules made thereunder, consent of the members be and is hereby accorded to convert the Company from a private limited company into a public limited company, and that the name of the Company be changed from "</w:t>
      </w:r>
      <w:r>
        <w:rPr>
          <w:b w:val="0"/>
          <w:i w:val="0"/>
          <w:highlight w:val="yellow"/>
        </w:rPr>
        <w:t>[Company Name]</w:t>
      </w:r>
      <w:r>
        <w:rPr>
          <w:b w:val="0"/>
          <w:i w:val="0"/>
        </w:rPr>
        <w:t xml:space="preserve"> Private Limited" to "</w:t>
      </w:r>
      <w:r>
        <w:rPr>
          <w:b w:val="0"/>
          <w:i w:val="0"/>
          <w:highlight w:val="yellow"/>
        </w:rPr>
        <w:t>[Company Name]</w:t>
      </w:r>
      <w:r>
        <w:rPr>
          <w:b w:val="0"/>
          <w:i w:val="0"/>
        </w:rPr>
        <w:t xml:space="preserve"> Limited".</w:t>
      </w:r>
    </w:p>
    <w:p>
      <w:pPr>
        <w:ind w:left="340"/>
        <w:jc w:val="both"/>
      </w:pPr>
      <w:r>
        <w:rPr>
          <w:b/>
        </w:rPr>
        <w:t xml:space="preserve">RESOLVED FURTHER </w:t>
      </w:r>
      <w:r>
        <w:rPr>
          <w:b w:val="0"/>
          <w:i w:val="0"/>
        </w:rPr>
        <w:t xml:space="preserve">THAT Clause I (Name Clause) of the Memorandum of Association be altered to read: "I. The name of the Company is </w:t>
      </w:r>
      <w:r>
        <w:rPr>
          <w:b w:val="0"/>
          <w:i w:val="0"/>
          <w:highlight w:val="yellow"/>
        </w:rPr>
        <w:t>[Company Name]</w:t>
      </w:r>
      <w:r>
        <w:rPr>
          <w:b w:val="0"/>
          <w:i w:val="0"/>
        </w:rPr>
        <w:t xml:space="preserve"> Limited."</w:t>
      </w:r>
    </w:p>
    <w:p>
      <w:pPr>
        <w:ind w:left="340"/>
        <w:jc w:val="both"/>
      </w:pPr>
      <w:r>
        <w:rPr>
          <w:b/>
        </w:rPr>
        <w:t xml:space="preserve">RESOLVED FURTHER </w:t>
      </w:r>
      <w:r>
        <w:rPr>
          <w:b w:val="0"/>
          <w:i w:val="0"/>
        </w:rPr>
        <w:t xml:space="preserve">THAT the existing Articles of Association be replaced in their entirety by the new set of Articles of Association, as placed before the meeting, suitable for a public company </w:t>
      </w:r>
      <w:r>
        <w:rPr>
          <w:b w:val="0"/>
          <w:i w:val="0"/>
          <w:highlight w:val="yellow"/>
        </w:rPr>
        <w:t>[and containing the provisions required for listing]</w:t>
      </w:r>
      <w:r>
        <w:rPr>
          <w:b w:val="0"/>
          <w:i w:val="0"/>
        </w:rPr>
        <w:t>.</w:t>
      </w:r>
    </w:p>
    <w:p>
      <w:pPr>
        <w:ind w:left="340"/>
        <w:jc w:val="both"/>
      </w:pPr>
      <w:r>
        <w:rPr>
          <w:b/>
        </w:rPr>
        <w:t xml:space="preserve">RESOLVED FURTHER </w:t>
      </w:r>
      <w:r>
        <w:rPr>
          <w:b w:val="0"/>
          <w:i w:val="0"/>
        </w:rPr>
        <w:t xml:space="preserve">THAT the Board of Directors </w:t>
      </w:r>
      <w:r>
        <w:rPr>
          <w:b w:val="0"/>
          <w:i w:val="0"/>
          <w:highlight w:val="yellow"/>
        </w:rPr>
        <w:t>[or any Director / the Company Secretary]</w:t>
      </w:r>
      <w:r>
        <w:rPr>
          <w:b w:val="0"/>
          <w:i w:val="0"/>
        </w:rPr>
        <w:t xml:space="preserve"> be and is hereby authorised to file all necessary forms with the Registrar of Companies, obtain the fresh certificate of incorporation, and do all acts necessary to give effect to this resolution.</w:t>
      </w:r>
    </w:p>
    <w:p>
      <w:r>
        <w:rPr>
          <w:b w:val="0"/>
          <w:i w:val="0"/>
          <w:color w:val="555555"/>
          <w:sz w:val="18"/>
        </w:rPr>
        <w:t>Points to check: minimum seven members and three directors for a public company (s.3(1)(a), s.149(1)); the new name is effective only on the fresh certificate of incorporation; update letterheads, bank mandates, GST and other registrations.</w:t>
      </w:r>
    </w:p>
    <w:p>
      <w:pPr>
        <w:pStyle w:val="Heading1"/>
      </w:pPr>
      <w:r>
        <w:t>2. Increase in authorised share capital (s.61)</w:t>
      </w:r>
    </w:p>
    <w:p>
      <w:pPr>
        <w:pStyle w:val="Heading2"/>
      </w:pPr>
      <w:r>
        <w:t>2A. Board resolution</w:t>
      </w:r>
    </w:p>
    <w:p>
      <w:pPr>
        <w:ind w:left="340"/>
        <w:jc w:val="both"/>
      </w:pPr>
      <w:r>
        <w:rPr>
          <w:b/>
        </w:rPr>
        <w:t xml:space="preserve">RESOLVED </w:t>
      </w:r>
      <w:r>
        <w:rPr>
          <w:b w:val="0"/>
          <w:i w:val="0"/>
        </w:rPr>
        <w:t>THAT, subject to the approval of the members and pursuant to sections 13, 61 and 64 of the Companies Act, 2013, the Board recommends an increase of the authorised share capital of the Company from ₹</w:t>
      </w:r>
      <w:r>
        <w:rPr>
          <w:b w:val="0"/>
          <w:i w:val="0"/>
          <w:highlight w:val="yellow"/>
        </w:rPr>
        <w:t>[existing]</w:t>
      </w:r>
      <w:r>
        <w:rPr>
          <w:b w:val="0"/>
          <w:i w:val="0"/>
        </w:rPr>
        <w:t xml:space="preserve"> (</w:t>
      </w:r>
      <w:r>
        <w:rPr>
          <w:b w:val="0"/>
          <w:i w:val="0"/>
          <w:highlight w:val="yellow"/>
        </w:rPr>
        <w:t>[words]</w:t>
      </w:r>
      <w:r>
        <w:rPr>
          <w:b w:val="0"/>
          <w:i w:val="0"/>
        </w:rPr>
        <w:t xml:space="preserve">) divided into </w:t>
      </w:r>
      <w:r>
        <w:rPr>
          <w:b w:val="0"/>
          <w:i w:val="0"/>
          <w:highlight w:val="yellow"/>
        </w:rPr>
        <w:t>[number]</w:t>
      </w:r>
      <w:r>
        <w:rPr>
          <w:b w:val="0"/>
          <w:i w:val="0"/>
        </w:rPr>
        <w:t xml:space="preserve"> equity shares of ₹</w:t>
      </w:r>
      <w:r>
        <w:rPr>
          <w:b w:val="0"/>
          <w:i w:val="0"/>
          <w:highlight w:val="yellow"/>
        </w:rPr>
        <w:t>[10]</w:t>
      </w:r>
      <w:r>
        <w:rPr>
          <w:b w:val="0"/>
          <w:i w:val="0"/>
        </w:rPr>
        <w:t xml:space="preserve"> each to ₹</w:t>
      </w:r>
      <w:r>
        <w:rPr>
          <w:b w:val="0"/>
          <w:i w:val="0"/>
          <w:highlight w:val="yellow"/>
        </w:rPr>
        <w:t>[proposed]</w:t>
      </w:r>
      <w:r>
        <w:rPr>
          <w:b w:val="0"/>
          <w:i w:val="0"/>
        </w:rPr>
        <w:t xml:space="preserve"> (</w:t>
      </w:r>
      <w:r>
        <w:rPr>
          <w:b w:val="0"/>
          <w:i w:val="0"/>
          <w:highlight w:val="yellow"/>
        </w:rPr>
        <w:t>[words]</w:t>
      </w:r>
      <w:r>
        <w:rPr>
          <w:b w:val="0"/>
          <w:i w:val="0"/>
        </w:rPr>
        <w:t xml:space="preserve">) divided into </w:t>
      </w:r>
      <w:r>
        <w:rPr>
          <w:b w:val="0"/>
          <w:i w:val="0"/>
          <w:highlight w:val="yellow"/>
        </w:rPr>
        <w:t>[number]</w:t>
      </w:r>
      <w:r>
        <w:rPr>
          <w:b w:val="0"/>
          <w:i w:val="0"/>
        </w:rPr>
        <w:t xml:space="preserve"> equity shares of ₹</w:t>
      </w:r>
      <w:r>
        <w:rPr>
          <w:b w:val="0"/>
          <w:i w:val="0"/>
          <w:highlight w:val="yellow"/>
        </w:rPr>
        <w:t>[10]</w:t>
      </w:r>
      <w:r>
        <w:rPr>
          <w:b w:val="0"/>
          <w:i w:val="0"/>
        </w:rPr>
        <w:t xml:space="preserve"> each, ranking pari passu with the existing equity shares.</w:t>
      </w:r>
    </w:p>
    <w:p>
      <w:pPr>
        <w:ind w:left="340"/>
        <w:jc w:val="both"/>
      </w:pPr>
      <w:r>
        <w:rPr>
          <w:b/>
        </w:rPr>
        <w:t xml:space="preserve">RESOLVED FURTHER </w:t>
      </w:r>
      <w:r>
        <w:rPr>
          <w:b w:val="0"/>
          <w:i w:val="0"/>
        </w:rPr>
        <w:t xml:space="preserve">THAT the matter be placed before the members at the </w:t>
      </w:r>
      <w:r>
        <w:rPr>
          <w:b w:val="0"/>
          <w:i w:val="0"/>
          <w:highlight w:val="yellow"/>
        </w:rPr>
        <w:t>[Extraordinary / Annual]</w:t>
      </w:r>
      <w:r>
        <w:rPr>
          <w:b w:val="0"/>
          <w:i w:val="0"/>
        </w:rPr>
        <w:t xml:space="preserve"> General Meeting to be held on </w:t>
      </w:r>
      <w:r>
        <w:rPr>
          <w:b w:val="0"/>
          <w:i w:val="0"/>
          <w:highlight w:val="yellow"/>
        </w:rPr>
        <w:t>[date]</w:t>
      </w:r>
      <w:r>
        <w:rPr>
          <w:b w:val="0"/>
          <w:i w:val="0"/>
        </w:rPr>
        <w:t xml:space="preserve">, and </w:t>
      </w:r>
      <w:r>
        <w:rPr>
          <w:b w:val="0"/>
          <w:i w:val="0"/>
          <w:highlight w:val="yellow"/>
        </w:rPr>
        <w:t>[Name]</w:t>
      </w:r>
      <w:r>
        <w:rPr>
          <w:b w:val="0"/>
          <w:i w:val="0"/>
        </w:rPr>
        <w:t xml:space="preserve"> be authorised to file SH-7 and do all acts incidental thereto.</w:t>
      </w:r>
    </w:p>
    <w:p>
      <w:pPr>
        <w:pStyle w:val="Heading2"/>
      </w:pPr>
      <w:r>
        <w:t>2B. Ordinary resolution of members</w:t>
      </w:r>
    </w:p>
    <w:p>
      <w:pPr>
        <w:ind w:left="340"/>
        <w:jc w:val="both"/>
      </w:pPr>
      <w:r>
        <w:rPr>
          <w:b/>
        </w:rPr>
        <w:t xml:space="preserve">RESOLVED </w:t>
      </w:r>
      <w:r>
        <w:rPr>
          <w:b w:val="0"/>
          <w:i w:val="0"/>
        </w:rPr>
        <w:t>THAT pursuant to sections 13, 61 and 64 and other applicable provisions of the Companies Act, 2013 and the Articles of Association, the authorised share capital of the Company be and is hereby increased from ₹</w:t>
      </w:r>
      <w:r>
        <w:rPr>
          <w:b w:val="0"/>
          <w:i w:val="0"/>
          <w:highlight w:val="yellow"/>
        </w:rPr>
        <w:t>[existing]</w:t>
      </w:r>
      <w:r>
        <w:rPr>
          <w:b w:val="0"/>
          <w:i w:val="0"/>
        </w:rPr>
        <w:t xml:space="preserve"> divided into </w:t>
      </w:r>
      <w:r>
        <w:rPr>
          <w:b w:val="0"/>
          <w:i w:val="0"/>
          <w:highlight w:val="yellow"/>
        </w:rPr>
        <w:t>[number]</w:t>
      </w:r>
      <w:r>
        <w:rPr>
          <w:b w:val="0"/>
          <w:i w:val="0"/>
        </w:rPr>
        <w:t xml:space="preserve"> equity shares of ₹</w:t>
      </w:r>
      <w:r>
        <w:rPr>
          <w:b w:val="0"/>
          <w:i w:val="0"/>
          <w:highlight w:val="yellow"/>
        </w:rPr>
        <w:t>[10]</w:t>
      </w:r>
      <w:r>
        <w:rPr>
          <w:b w:val="0"/>
          <w:i w:val="0"/>
        </w:rPr>
        <w:t xml:space="preserve"> each to ₹</w:t>
      </w:r>
      <w:r>
        <w:rPr>
          <w:b w:val="0"/>
          <w:i w:val="0"/>
          <w:highlight w:val="yellow"/>
        </w:rPr>
        <w:t>[proposed]</w:t>
      </w:r>
      <w:r>
        <w:rPr>
          <w:b w:val="0"/>
          <w:i w:val="0"/>
        </w:rPr>
        <w:t xml:space="preserve"> divided into </w:t>
      </w:r>
      <w:r>
        <w:rPr>
          <w:b w:val="0"/>
          <w:i w:val="0"/>
          <w:highlight w:val="yellow"/>
        </w:rPr>
        <w:t>[number]</w:t>
      </w:r>
      <w:r>
        <w:rPr>
          <w:b w:val="0"/>
          <w:i w:val="0"/>
        </w:rPr>
        <w:t xml:space="preserve"> equity shares of ₹</w:t>
      </w:r>
      <w:r>
        <w:rPr>
          <w:b w:val="0"/>
          <w:i w:val="0"/>
          <w:highlight w:val="yellow"/>
        </w:rPr>
        <w:t>[10]</w:t>
      </w:r>
      <w:r>
        <w:rPr>
          <w:b w:val="0"/>
          <w:i w:val="0"/>
        </w:rPr>
        <w:t xml:space="preserve"> each, by the creation of </w:t>
      </w:r>
      <w:r>
        <w:rPr>
          <w:b w:val="0"/>
          <w:i w:val="0"/>
          <w:highlight w:val="yellow"/>
        </w:rPr>
        <w:t>[number]</w:t>
      </w:r>
      <w:r>
        <w:rPr>
          <w:b w:val="0"/>
          <w:i w:val="0"/>
        </w:rPr>
        <w:t xml:space="preserve"> new equity shares of ₹</w:t>
      </w:r>
      <w:r>
        <w:rPr>
          <w:b w:val="0"/>
          <w:i w:val="0"/>
          <w:highlight w:val="yellow"/>
        </w:rPr>
        <w:t>[10]</w:t>
      </w:r>
      <w:r>
        <w:rPr>
          <w:b w:val="0"/>
          <w:i w:val="0"/>
        </w:rPr>
        <w:t xml:space="preserve"> each ranking pari passu in all respects with the existing equity shares.</w:t>
      </w:r>
    </w:p>
    <w:p>
      <w:pPr>
        <w:ind w:left="340"/>
        <w:jc w:val="both"/>
      </w:pPr>
      <w:r>
        <w:rPr>
          <w:b/>
        </w:rPr>
        <w:t xml:space="preserve">RESOLVED FURTHER </w:t>
      </w:r>
      <w:r>
        <w:rPr>
          <w:b w:val="0"/>
          <w:i w:val="0"/>
        </w:rPr>
        <w:t>THAT Clause V of the Memorandum of Association be substituted as follows: "V. The Authorised Share Capital of the Company is ₹</w:t>
      </w:r>
      <w:r>
        <w:rPr>
          <w:b w:val="0"/>
          <w:i w:val="0"/>
          <w:highlight w:val="yellow"/>
        </w:rPr>
        <w:t>[proposed]</w:t>
      </w:r>
      <w:r>
        <w:rPr>
          <w:b w:val="0"/>
          <w:i w:val="0"/>
        </w:rPr>
        <w:t xml:space="preserve"> (</w:t>
      </w:r>
      <w:r>
        <w:rPr>
          <w:b w:val="0"/>
          <w:i w:val="0"/>
          <w:highlight w:val="yellow"/>
        </w:rPr>
        <w:t>[words]</w:t>
      </w:r>
      <w:r>
        <w:rPr>
          <w:b w:val="0"/>
          <w:i w:val="0"/>
        </w:rPr>
        <w:t xml:space="preserve">) divided into </w:t>
      </w:r>
      <w:r>
        <w:rPr>
          <w:b w:val="0"/>
          <w:i w:val="0"/>
          <w:highlight w:val="yellow"/>
        </w:rPr>
        <w:t>[number]</w:t>
      </w:r>
      <w:r>
        <w:rPr>
          <w:b w:val="0"/>
          <w:i w:val="0"/>
        </w:rPr>
        <w:t xml:space="preserve"> equity shares of ₹</w:t>
      </w:r>
      <w:r>
        <w:rPr>
          <w:b w:val="0"/>
          <w:i w:val="0"/>
          <w:highlight w:val="yellow"/>
        </w:rPr>
        <w:t>[10]</w:t>
      </w:r>
      <w:r>
        <w:rPr>
          <w:b w:val="0"/>
          <w:i w:val="0"/>
        </w:rPr>
        <w:t xml:space="preserve"> each."</w:t>
      </w:r>
    </w:p>
    <w:p>
      <w:r>
        <w:rPr>
          <w:b w:val="0"/>
          <w:i w:val="0"/>
          <w:color w:val="555555"/>
          <w:sz w:val="18"/>
        </w:rPr>
        <w:t>Size the increase to cover any bonus issue, pre-IPO placement and the fresh issue. Stamp duty on the increase is payable by state; check before filing SH-7.</w:t>
      </w:r>
    </w:p>
    <w:p>
      <w:pPr>
        <w:pStyle w:val="Heading1"/>
      </w:pPr>
      <w:r>
        <w:t>3. Appointment of an independent director</w:t>
      </w:r>
    </w:p>
    <w:p>
      <w:pPr>
        <w:pStyle w:val="Heading2"/>
      </w:pPr>
      <w:r>
        <w:t>3A. Board resolution: additional director (independent)</w:t>
      </w:r>
    </w:p>
    <w:p>
      <w:pPr>
        <w:ind w:left="340"/>
        <w:jc w:val="both"/>
      </w:pPr>
      <w:r>
        <w:rPr>
          <w:b/>
        </w:rPr>
        <w:t xml:space="preserve">RESOLVED </w:t>
      </w:r>
      <w:r>
        <w:rPr>
          <w:b w:val="0"/>
          <w:i w:val="0"/>
        </w:rPr>
        <w:t xml:space="preserve">THAT pursuant to sections 149, 150, 152 and 161 read with Schedule IV of the Companies Act, 2013 and the Companies (Appointment and Qualification of Directors) Rules, 2014, and on the recommendation of the Nomination and Remuneration Committee </w:t>
      </w:r>
      <w:r>
        <w:rPr>
          <w:b w:val="0"/>
          <w:i w:val="0"/>
          <w:highlight w:val="yellow"/>
        </w:rPr>
        <w:t>[if constituted]</w:t>
      </w:r>
      <w:r>
        <w:rPr>
          <w:b w:val="0"/>
          <w:i w:val="0"/>
        </w:rPr>
        <w:t xml:space="preserve">, </w:t>
      </w:r>
      <w:r>
        <w:rPr>
          <w:b w:val="0"/>
          <w:i w:val="0"/>
          <w:highlight w:val="yellow"/>
        </w:rPr>
        <w:t>[Name]</w:t>
      </w:r>
      <w:r>
        <w:rPr>
          <w:b w:val="0"/>
          <w:i w:val="0"/>
        </w:rPr>
        <w:t xml:space="preserve"> (DIN: </w:t>
      </w:r>
      <w:r>
        <w:rPr>
          <w:b w:val="0"/>
          <w:i w:val="0"/>
          <w:highlight w:val="yellow"/>
        </w:rPr>
        <w:t>[ ]</w:t>
      </w:r>
      <w:r>
        <w:rPr>
          <w:b w:val="0"/>
          <w:i w:val="0"/>
        </w:rPr>
        <w:t xml:space="preserve">), who has submitted a declaration of independence under section 149(7) and confirmed registration in the independent directors' databank maintained by the Indian Institute of Corporate Affairs, be and is hereby appointed as an Additional Director (Non-Executive, Independent) of the Company with effect from </w:t>
      </w:r>
      <w:r>
        <w:rPr>
          <w:b w:val="0"/>
          <w:i w:val="0"/>
          <w:highlight w:val="yellow"/>
        </w:rPr>
        <w:t>[date]</w:t>
      </w:r>
      <w:r>
        <w:rPr>
          <w:b w:val="0"/>
          <w:i w:val="0"/>
        </w:rPr>
        <w:t>, to hold office up to the date of the next general meeting.</w:t>
      </w:r>
    </w:p>
    <w:p>
      <w:pPr>
        <w:ind w:left="340"/>
        <w:jc w:val="both"/>
      </w:pPr>
      <w:r>
        <w:rPr>
          <w:b/>
        </w:rPr>
        <w:t xml:space="preserve">RESOLVED FURTHER </w:t>
      </w:r>
      <w:r>
        <w:rPr>
          <w:b w:val="0"/>
          <w:i w:val="0"/>
        </w:rPr>
        <w:t xml:space="preserve">THAT, subject to the approval of the members, </w:t>
      </w:r>
      <w:r>
        <w:rPr>
          <w:b w:val="0"/>
          <w:i w:val="0"/>
          <w:highlight w:val="yellow"/>
        </w:rPr>
        <w:t>[Name]</w:t>
      </w:r>
      <w:r>
        <w:rPr>
          <w:b w:val="0"/>
          <w:i w:val="0"/>
        </w:rPr>
        <w:t xml:space="preserve"> be appointed as an Independent Director for a term of </w:t>
      </w:r>
      <w:r>
        <w:rPr>
          <w:b w:val="0"/>
          <w:i w:val="0"/>
          <w:highlight w:val="yellow"/>
        </w:rPr>
        <w:t>[up to five]</w:t>
      </w:r>
      <w:r>
        <w:rPr>
          <w:b w:val="0"/>
          <w:i w:val="0"/>
        </w:rPr>
        <w:t xml:space="preserve"> consecutive years from </w:t>
      </w:r>
      <w:r>
        <w:rPr>
          <w:b w:val="0"/>
          <w:i w:val="0"/>
          <w:highlight w:val="yellow"/>
        </w:rPr>
        <w:t>[date]</w:t>
      </w:r>
      <w:r>
        <w:rPr>
          <w:b w:val="0"/>
          <w:i w:val="0"/>
        </w:rPr>
        <w:t xml:space="preserve"> to </w:t>
      </w:r>
      <w:r>
        <w:rPr>
          <w:b w:val="0"/>
          <w:i w:val="0"/>
          <w:highlight w:val="yellow"/>
        </w:rPr>
        <w:t>[date]</w:t>
      </w:r>
      <w:r>
        <w:rPr>
          <w:b w:val="0"/>
          <w:i w:val="0"/>
        </w:rPr>
        <w:t>, not liable to retire by rotation, and the Board recommends the resolution to the members.</w:t>
      </w:r>
    </w:p>
    <w:p>
      <w:pPr>
        <w:ind w:left="340"/>
        <w:jc w:val="both"/>
      </w:pPr>
      <w:r>
        <w:rPr>
          <w:b/>
        </w:rPr>
        <w:t xml:space="preserve">RESOLVED FURTHER </w:t>
      </w:r>
      <w:r>
        <w:rPr>
          <w:b w:val="0"/>
          <w:i w:val="0"/>
        </w:rPr>
        <w:t xml:space="preserve">THAT </w:t>
      </w:r>
      <w:r>
        <w:rPr>
          <w:b w:val="0"/>
          <w:i w:val="0"/>
          <w:highlight w:val="yellow"/>
        </w:rPr>
        <w:t>[Name]</w:t>
      </w:r>
      <w:r>
        <w:rPr>
          <w:b w:val="0"/>
          <w:i w:val="0"/>
        </w:rPr>
        <w:t xml:space="preserve"> be authorised to file DIR-12, issue the letter of appointment setting out the terms under Schedule IV, and place the terms on the website of the Company.</w:t>
      </w:r>
    </w:p>
    <w:p>
      <w:pPr>
        <w:pStyle w:val="Heading2"/>
      </w:pPr>
      <w:r>
        <w:t>3B. Resolution of members</w:t>
      </w:r>
    </w:p>
    <w:p>
      <w:pPr>
        <w:ind w:left="340"/>
        <w:jc w:val="both"/>
      </w:pPr>
      <w:r>
        <w:rPr>
          <w:b/>
        </w:rPr>
        <w:t xml:space="preserve">RESOLVED </w:t>
      </w:r>
      <w:r>
        <w:rPr>
          <w:b w:val="0"/>
          <w:i w:val="0"/>
        </w:rPr>
        <w:t xml:space="preserve">THAT pursuant to sections 149, 150 and 152 read with Schedule IV and other applicable provisions of the Companies Act, 2013 and the rules made thereunder, </w:t>
      </w:r>
      <w:r>
        <w:rPr>
          <w:b w:val="0"/>
          <w:i w:val="0"/>
          <w:highlight w:val="yellow"/>
        </w:rPr>
        <w:t>[Name]</w:t>
      </w:r>
      <w:r>
        <w:rPr>
          <w:b w:val="0"/>
          <w:i w:val="0"/>
        </w:rPr>
        <w:t xml:space="preserve"> (DIN: </w:t>
      </w:r>
      <w:r>
        <w:rPr>
          <w:b w:val="0"/>
          <w:i w:val="0"/>
          <w:highlight w:val="yellow"/>
        </w:rPr>
        <w:t>[ ]</w:t>
      </w:r>
      <w:r>
        <w:rPr>
          <w:b w:val="0"/>
          <w:i w:val="0"/>
        </w:rPr>
        <w:t xml:space="preserve">), who meets the criteria of independence under section 149(6), be and is hereby appointed as an Independent Director of the Company, not liable to retire by rotation, for a term of </w:t>
      </w:r>
      <w:r>
        <w:rPr>
          <w:b w:val="0"/>
          <w:i w:val="0"/>
          <w:highlight w:val="yellow"/>
        </w:rPr>
        <w:t>[five]</w:t>
      </w:r>
      <w:r>
        <w:rPr>
          <w:b w:val="0"/>
          <w:i w:val="0"/>
        </w:rPr>
        <w:t xml:space="preserve"> consecutive years from </w:t>
      </w:r>
      <w:r>
        <w:rPr>
          <w:b w:val="0"/>
          <w:i w:val="0"/>
          <w:highlight w:val="yellow"/>
        </w:rPr>
        <w:t>[date]</w:t>
      </w:r>
      <w:r>
        <w:rPr>
          <w:b w:val="0"/>
          <w:i w:val="0"/>
        </w:rPr>
        <w:t xml:space="preserve"> to </w:t>
      </w:r>
      <w:r>
        <w:rPr>
          <w:b w:val="0"/>
          <w:i w:val="0"/>
          <w:highlight w:val="yellow"/>
        </w:rPr>
        <w:t>[date]</w:t>
      </w:r>
      <w:r>
        <w:rPr>
          <w:b w:val="0"/>
          <w:i w:val="0"/>
        </w:rPr>
        <w:t>.</w:t>
      </w:r>
    </w:p>
    <w:p>
      <w:r>
        <w:rPr>
          <w:b w:val="0"/>
          <w:i w:val="0"/>
          <w:color w:val="555555"/>
          <w:sz w:val="18"/>
        </w:rPr>
        <w:t>Pass as an ordinary resolution for a first term under the Act. A main-board listed company needs a special resolution under LODR Reg 25(2A); SME-listed companies are outside Reg 25 by Reg 15(2), but confirm what your lead manager expects. A listed public company must have at least one-third independent directors (s.149(4)). Collect: DIR-2 consent, DIR-8, MBP-1, the s.149(7) declaration, databank registration and proficiency-test status (Rule 6(4)).</w:t>
      </w:r>
    </w:p>
    <w:p>
      <w:pPr>
        <w:pStyle w:val="Heading1"/>
      </w:pPr>
      <w:r>
        <w:t>4. Appointment of a woman director</w:t>
      </w:r>
    </w:p>
    <w:p>
      <w:pPr>
        <w:ind w:left="340"/>
        <w:jc w:val="both"/>
      </w:pPr>
      <w:r>
        <w:rPr>
          <w:b/>
        </w:rPr>
        <w:t xml:space="preserve">RESOLVED </w:t>
      </w:r>
      <w:r>
        <w:rPr>
          <w:b w:val="0"/>
          <w:i w:val="0"/>
        </w:rPr>
        <w:t xml:space="preserve">THAT pursuant to section 149(1) (second proviso) read with Rule 3 of the Companies (Appointment and Qualification of Directors) Rules, 2014 and sections 152 and 161 of the Companies Act, 2013, </w:t>
      </w:r>
      <w:r>
        <w:rPr>
          <w:b w:val="0"/>
          <w:i w:val="0"/>
          <w:highlight w:val="yellow"/>
        </w:rPr>
        <w:t>[Ms. Name]</w:t>
      </w:r>
      <w:r>
        <w:rPr>
          <w:b w:val="0"/>
          <w:i w:val="0"/>
        </w:rPr>
        <w:t xml:space="preserve"> (DIN: </w:t>
      </w:r>
      <w:r>
        <w:rPr>
          <w:b w:val="0"/>
          <w:i w:val="0"/>
          <w:highlight w:val="yellow"/>
        </w:rPr>
        <w:t>[ ]</w:t>
      </w:r>
      <w:r>
        <w:rPr>
          <w:b w:val="0"/>
          <w:i w:val="0"/>
        </w:rPr>
        <w:t xml:space="preserve">) be and is hereby appointed as an Additional Director in the category of </w:t>
      </w:r>
      <w:r>
        <w:rPr>
          <w:b w:val="0"/>
          <w:i w:val="0"/>
          <w:highlight w:val="yellow"/>
        </w:rPr>
        <w:t>[Non-Executive Non-Independent / Independent]</w:t>
      </w:r>
      <w:r>
        <w:rPr>
          <w:b w:val="0"/>
          <w:i w:val="0"/>
        </w:rPr>
        <w:t xml:space="preserve"> Director with effect from </w:t>
      </w:r>
      <w:r>
        <w:rPr>
          <w:b w:val="0"/>
          <w:i w:val="0"/>
          <w:highlight w:val="yellow"/>
        </w:rPr>
        <w:t>[date]</w:t>
      </w:r>
      <w:r>
        <w:rPr>
          <w:b w:val="0"/>
          <w:i w:val="0"/>
        </w:rPr>
        <w:t xml:space="preserve">, to hold office up to the date of the next general meeting, and the Board recommends her appointment as a Director </w:t>
      </w:r>
      <w:r>
        <w:rPr>
          <w:b w:val="0"/>
          <w:i w:val="0"/>
          <w:highlight w:val="yellow"/>
        </w:rPr>
        <w:t>[liable / not liable]</w:t>
      </w:r>
      <w:r>
        <w:rPr>
          <w:b w:val="0"/>
          <w:i w:val="0"/>
        </w:rPr>
        <w:t xml:space="preserve"> to retire by rotation for the approval of the members.</w:t>
      </w:r>
    </w:p>
    <w:p>
      <w:pPr>
        <w:ind w:left="340"/>
        <w:jc w:val="both"/>
      </w:pPr>
      <w:r>
        <w:rPr>
          <w:b/>
        </w:rPr>
        <w:t xml:space="preserve">RESOLVED FURTHER </w:t>
      </w:r>
      <w:r>
        <w:rPr>
          <w:b w:val="0"/>
          <w:i w:val="0"/>
        </w:rPr>
        <w:t xml:space="preserve">THAT </w:t>
      </w:r>
      <w:r>
        <w:rPr>
          <w:b w:val="0"/>
          <w:i w:val="0"/>
          <w:highlight w:val="yellow"/>
        </w:rPr>
        <w:t>[Name]</w:t>
      </w:r>
      <w:r>
        <w:rPr>
          <w:b w:val="0"/>
          <w:i w:val="0"/>
        </w:rPr>
        <w:t xml:space="preserve"> be authorised to file DIR-12 and complete all related formalities.</w:t>
      </w:r>
    </w:p>
    <w:p>
      <w:r>
        <w:rPr>
          <w:b w:val="0"/>
          <w:i w:val="0"/>
          <w:color w:val="555555"/>
          <w:sz w:val="18"/>
        </w:rPr>
        <w:t>Every listed company needs at least one woman director (s.149(1) second proviso; Rule 3). An intermittent vacancy must be filled by the board within three months or by the next board meeting, whichever is later.</w:t>
      </w:r>
    </w:p>
    <w:p>
      <w:pPr>
        <w:pStyle w:val="Heading1"/>
      </w:pPr>
      <w:r>
        <w:t>5. Appointment of key managerial personnel (s.203)</w:t>
      </w:r>
    </w:p>
    <w:p>
      <w:pPr>
        <w:pStyle w:val="Heading2"/>
      </w:pPr>
      <w:r>
        <w:t>5A. Managing Director / Whole-time Director</w:t>
      </w:r>
    </w:p>
    <w:p>
      <w:pPr>
        <w:ind w:left="340"/>
        <w:jc w:val="both"/>
      </w:pPr>
      <w:r>
        <w:rPr>
          <w:b/>
        </w:rPr>
        <w:t xml:space="preserve">RESOLVED </w:t>
      </w:r>
      <w:r>
        <w:rPr>
          <w:b w:val="0"/>
          <w:i w:val="0"/>
        </w:rPr>
        <w:t xml:space="preserve">THAT pursuant to sections 196, 197, 198 and 203 read with Schedule V and other applicable provisions of the Companies Act, 2013 and the Companies (Appointment and Remuneration of Managerial Personnel) Rules, 2014, and on the recommendation of the Nomination and Remuneration Committee, and subject to the approval of the members, </w:t>
      </w:r>
      <w:r>
        <w:rPr>
          <w:b w:val="0"/>
          <w:i w:val="0"/>
          <w:highlight w:val="yellow"/>
        </w:rPr>
        <w:t>[Name]</w:t>
      </w:r>
      <w:r>
        <w:rPr>
          <w:b w:val="0"/>
          <w:i w:val="0"/>
        </w:rPr>
        <w:t xml:space="preserve"> (DIN: </w:t>
      </w:r>
      <w:r>
        <w:rPr>
          <w:b w:val="0"/>
          <w:i w:val="0"/>
          <w:highlight w:val="yellow"/>
        </w:rPr>
        <w:t>[ ]</w:t>
      </w:r>
      <w:r>
        <w:rPr>
          <w:b w:val="0"/>
          <w:i w:val="0"/>
        </w:rPr>
        <w:t xml:space="preserve">) be and is hereby appointed as </w:t>
      </w:r>
      <w:r>
        <w:rPr>
          <w:b w:val="0"/>
          <w:i w:val="0"/>
          <w:highlight w:val="yellow"/>
        </w:rPr>
        <w:t>[Managing Director / Whole-time Director]</w:t>
      </w:r>
      <w:r>
        <w:rPr>
          <w:b w:val="0"/>
          <w:i w:val="0"/>
        </w:rPr>
        <w:t xml:space="preserve"> of the Company for a period of </w:t>
      </w:r>
      <w:r>
        <w:rPr>
          <w:b w:val="0"/>
          <w:i w:val="0"/>
          <w:highlight w:val="yellow"/>
        </w:rPr>
        <w:t>[five]</w:t>
      </w:r>
      <w:r>
        <w:rPr>
          <w:b w:val="0"/>
          <w:i w:val="0"/>
        </w:rPr>
        <w:t xml:space="preserve"> years from </w:t>
      </w:r>
      <w:r>
        <w:rPr>
          <w:b w:val="0"/>
          <w:i w:val="0"/>
          <w:highlight w:val="yellow"/>
        </w:rPr>
        <w:t>[date]</w:t>
      </w:r>
      <w:r>
        <w:rPr>
          <w:b w:val="0"/>
          <w:i w:val="0"/>
        </w:rPr>
        <w:t xml:space="preserve"> to </w:t>
      </w:r>
      <w:r>
        <w:rPr>
          <w:b w:val="0"/>
          <w:i w:val="0"/>
          <w:highlight w:val="yellow"/>
        </w:rPr>
        <w:t>[date]</w:t>
      </w:r>
      <w:r>
        <w:rPr>
          <w:b w:val="0"/>
          <w:i w:val="0"/>
        </w:rPr>
        <w:t>, on the remuneration and terms set out in the explanatory statement / draft agreement placed before the Board.</w:t>
      </w:r>
    </w:p>
    <w:p>
      <w:pPr>
        <w:ind w:left="340"/>
        <w:jc w:val="both"/>
      </w:pPr>
      <w:r>
        <w:rPr>
          <w:b/>
        </w:rPr>
        <w:t xml:space="preserve">RESOLVED FURTHER </w:t>
      </w:r>
      <w:r>
        <w:rPr>
          <w:b w:val="0"/>
          <w:i w:val="0"/>
        </w:rPr>
        <w:t>THAT where in any financial year the Company has no profits or inadequate profits, the remuneration above shall be paid as minimum remuneration subject to the limits of Section II of Part II of Schedule V.</w:t>
      </w:r>
    </w:p>
    <w:p>
      <w:pPr>
        <w:ind w:left="340"/>
        <w:jc w:val="both"/>
      </w:pPr>
      <w:r>
        <w:rPr>
          <w:b/>
        </w:rPr>
        <w:t xml:space="preserve">RESOLVED FURTHER </w:t>
      </w:r>
      <w:r>
        <w:rPr>
          <w:b w:val="0"/>
          <w:i w:val="0"/>
        </w:rPr>
        <w:t xml:space="preserve">THAT </w:t>
      </w:r>
      <w:r>
        <w:rPr>
          <w:b w:val="0"/>
          <w:i w:val="0"/>
          <w:highlight w:val="yellow"/>
        </w:rPr>
        <w:t>[Name]</w:t>
      </w:r>
      <w:r>
        <w:rPr>
          <w:b w:val="0"/>
          <w:i w:val="0"/>
        </w:rPr>
        <w:t xml:space="preserve"> be authorised to file DIR-12 </w:t>
      </w:r>
      <w:r>
        <w:rPr>
          <w:b w:val="0"/>
          <w:i w:val="0"/>
          <w:highlight w:val="yellow"/>
        </w:rPr>
        <w:t>[and MR-1, where required]</w:t>
      </w:r>
      <w:r>
        <w:rPr>
          <w:b w:val="0"/>
          <w:i w:val="0"/>
        </w:rPr>
        <w:t xml:space="preserve"> and to sign the agreement on behalf of the Company.</w:t>
      </w:r>
    </w:p>
    <w:p>
      <w:r>
        <w:rPr>
          <w:b w:val="0"/>
          <w:i w:val="0"/>
          <w:color w:val="555555"/>
          <w:sz w:val="18"/>
        </w:rPr>
        <w:t>Members' approval is by ordinary resolution; a special resolution is needed for an appointee above 70 years (s.196(3)(a)) and for remuneration beyond Schedule V limits.</w:t>
      </w:r>
    </w:p>
    <w:p>
      <w:pPr>
        <w:pStyle w:val="Heading2"/>
      </w:pPr>
      <w:r>
        <w:t>5B. Chief Financial Officer</w:t>
      </w:r>
    </w:p>
    <w:p>
      <w:pPr>
        <w:ind w:left="340"/>
        <w:jc w:val="both"/>
      </w:pPr>
      <w:r>
        <w:rPr>
          <w:b/>
        </w:rPr>
        <w:t xml:space="preserve">RESOLVED </w:t>
      </w:r>
      <w:r>
        <w:rPr>
          <w:b w:val="0"/>
          <w:i w:val="0"/>
        </w:rPr>
        <w:t xml:space="preserve">THAT pursuant to section 203 read with Rule 8 of the Companies (Appointment and Remuneration of Managerial Personnel) Rules, 2014, and on the recommendation of the </w:t>
      </w:r>
      <w:r>
        <w:rPr>
          <w:b w:val="0"/>
          <w:i w:val="0"/>
          <w:highlight w:val="yellow"/>
        </w:rPr>
        <w:t>[Nomination and Remuneration Committee / Audit Committee]</w:t>
      </w:r>
      <w:r>
        <w:rPr>
          <w:b w:val="0"/>
          <w:i w:val="0"/>
        </w:rPr>
        <w:t xml:space="preserve">, </w:t>
      </w:r>
      <w:r>
        <w:rPr>
          <w:b w:val="0"/>
          <w:i w:val="0"/>
          <w:highlight w:val="yellow"/>
        </w:rPr>
        <w:t>[Name]</w:t>
      </w:r>
      <w:r>
        <w:rPr>
          <w:b w:val="0"/>
          <w:i w:val="0"/>
        </w:rPr>
        <w:t xml:space="preserve"> be and is hereby appointed as the Chief Financial Officer and a Key Managerial Personnel of the Company with effect from </w:t>
      </w:r>
      <w:r>
        <w:rPr>
          <w:b w:val="0"/>
          <w:i w:val="0"/>
          <w:highlight w:val="yellow"/>
        </w:rPr>
        <w:t>[date]</w:t>
      </w:r>
      <w:r>
        <w:rPr>
          <w:b w:val="0"/>
          <w:i w:val="0"/>
        </w:rPr>
        <w:t>, on the terms and remuneration set out in the appointment letter placed before the Board.</w:t>
      </w:r>
    </w:p>
    <w:p>
      <w:pPr>
        <w:ind w:left="340"/>
        <w:jc w:val="both"/>
      </w:pPr>
      <w:r>
        <w:rPr>
          <w:b/>
        </w:rPr>
        <w:t xml:space="preserve">RESOLVED FURTHER </w:t>
      </w:r>
      <w:r>
        <w:rPr>
          <w:b w:val="0"/>
          <w:i w:val="0"/>
        </w:rPr>
        <w:t xml:space="preserve">THAT </w:t>
      </w:r>
      <w:r>
        <w:rPr>
          <w:b w:val="0"/>
          <w:i w:val="0"/>
          <w:highlight w:val="yellow"/>
        </w:rPr>
        <w:t>[Name]</w:t>
      </w:r>
      <w:r>
        <w:rPr>
          <w:b w:val="0"/>
          <w:i w:val="0"/>
        </w:rPr>
        <w:t xml:space="preserve"> be authorised to file DIR-12 and update the register of directors and KMP.</w:t>
      </w:r>
    </w:p>
    <w:p>
      <w:pPr>
        <w:pStyle w:val="Heading2"/>
      </w:pPr>
      <w:r>
        <w:t>5C. Company Secretary</w:t>
      </w:r>
    </w:p>
    <w:p>
      <w:pPr>
        <w:ind w:left="340"/>
        <w:jc w:val="both"/>
      </w:pPr>
      <w:r>
        <w:rPr>
          <w:b/>
        </w:rPr>
        <w:t xml:space="preserve">RESOLVED </w:t>
      </w:r>
      <w:r>
        <w:rPr>
          <w:b w:val="0"/>
          <w:i w:val="0"/>
        </w:rPr>
        <w:t xml:space="preserve">THAT pursuant to section 203 read with Rule 8 of the Companies (Appointment and Remuneration of Managerial Personnel) Rules, 2014, </w:t>
      </w:r>
      <w:r>
        <w:rPr>
          <w:b w:val="0"/>
          <w:i w:val="0"/>
          <w:highlight w:val="yellow"/>
        </w:rPr>
        <w:t>[Name]</w:t>
      </w:r>
      <w:r>
        <w:rPr>
          <w:b w:val="0"/>
          <w:i w:val="0"/>
        </w:rPr>
        <w:t xml:space="preserve">, a member of the Institute of Company Secretaries of India (Membership No. </w:t>
      </w:r>
      <w:r>
        <w:rPr>
          <w:b w:val="0"/>
          <w:i w:val="0"/>
          <w:highlight w:val="yellow"/>
        </w:rPr>
        <w:t>[ACS / FCS ]</w:t>
      </w:r>
      <w:r>
        <w:rPr>
          <w:b w:val="0"/>
          <w:i w:val="0"/>
        </w:rPr>
        <w:t xml:space="preserve">), be and is hereby appointed as the Company Secretary and a Key Managerial Personnel of the Company with effect from </w:t>
      </w:r>
      <w:r>
        <w:rPr>
          <w:b w:val="0"/>
          <w:i w:val="0"/>
          <w:highlight w:val="yellow"/>
        </w:rPr>
        <w:t>[date]</w:t>
      </w:r>
      <w:r>
        <w:rPr>
          <w:b w:val="0"/>
          <w:i w:val="0"/>
        </w:rPr>
        <w:t xml:space="preserve"> on the terms set out in the appointment letter placed before the Board.</w:t>
      </w:r>
    </w:p>
    <w:p>
      <w:pPr>
        <w:ind w:left="340"/>
        <w:jc w:val="both"/>
      </w:pPr>
      <w:r>
        <w:rPr>
          <w:b/>
        </w:rPr>
        <w:t xml:space="preserve">RESOLVED FURTHER </w:t>
      </w:r>
      <w:r>
        <w:rPr>
          <w:b w:val="0"/>
          <w:i w:val="0"/>
        </w:rPr>
        <w:t xml:space="preserve">THAT </w:t>
      </w:r>
      <w:r>
        <w:rPr>
          <w:b w:val="0"/>
          <w:i w:val="0"/>
          <w:highlight w:val="yellow"/>
        </w:rPr>
        <w:t>[Name]</w:t>
      </w:r>
      <w:r>
        <w:rPr>
          <w:b w:val="0"/>
          <w:i w:val="0"/>
        </w:rPr>
        <w:t xml:space="preserve"> be authorised to file DIR-12 and to intimate the appointment to the Registrar of Companies.</w:t>
      </w:r>
    </w:p>
    <w:p>
      <w:r>
        <w:rPr>
          <w:b w:val="0"/>
          <w:i w:val="0"/>
          <w:color w:val="555555"/>
          <w:sz w:val="18"/>
        </w:rPr>
        <w:t>Board resolutions appointing KMP fall under s.179(3) read with Rule 8 of the Meetings of Board Rules; file MGT-14 once the company is public.</w:t>
      </w:r>
    </w:p>
    <w:p>
      <w:pPr>
        <w:pStyle w:val="Heading1"/>
      </w:pPr>
      <w:r>
        <w:t>6. Constitution of board committees</w:t>
      </w:r>
    </w:p>
    <w:p>
      <w:pPr>
        <w:pStyle w:val="Heading2"/>
      </w:pPr>
      <w:r>
        <w:t>6A. Audit committee (s.177)</w:t>
      </w:r>
    </w:p>
    <w:p>
      <w:pPr>
        <w:ind w:left="340"/>
        <w:jc w:val="both"/>
      </w:pPr>
      <w:r>
        <w:rPr>
          <w:b/>
        </w:rPr>
        <w:t xml:space="preserve">RESOLVED </w:t>
      </w:r>
      <w:r>
        <w:rPr>
          <w:b w:val="0"/>
          <w:i w:val="0"/>
        </w:rPr>
        <w:t xml:space="preserve">THAT pursuant to section 177 of the Companies Act, 2013 read with Rule 6 of the Companies (Meetings of Board and its Powers) Rules, 2014, an Audit Committee of the Board be and is hereby constituted with effect from </w:t>
      </w:r>
      <w:r>
        <w:rPr>
          <w:b w:val="0"/>
          <w:i w:val="0"/>
          <w:highlight w:val="yellow"/>
        </w:rPr>
        <w:t>[date]</w:t>
      </w:r>
      <w:r>
        <w:rPr>
          <w:b w:val="0"/>
          <w:i w:val="0"/>
        </w:rPr>
        <w:t xml:space="preserve"> comprising:</w:t>
      </w:r>
    </w:p>
    <w:tbl>
      <w:tblPr>
        <w:tblStyle w:val="TableGrid"/>
        <w:tblW w:type="auto" w:w="0"/>
        <w:jc w:val="center"/>
        <w:tblLayout w:type="fixed"/>
        <w:tblLook w:firstColumn="1" w:firstRow="1" w:lastColumn="0" w:lastRow="0" w:noHBand="0" w:noVBand="1" w:val="04A0"/>
      </w:tblPr>
      <w:tblGrid>
        <w:gridCol w:w="3402"/>
        <w:gridCol w:w="3402"/>
        <w:gridCol w:w="2268"/>
      </w:tblGrid>
      <w:tr>
        <w:tc>
          <w:tcPr>
            <w:tcW w:type="dxa" w:w="3402"/>
            <w:shd w:val="clear" w:color="auto" w:fill="4B2FA8"/>
          </w:tcPr>
          <w:p>
            <w:r/>
            <w:r>
              <w:rPr>
                <w:b/>
                <w:i w:val="0"/>
                <w:color w:val="FFFFFF"/>
                <w:sz w:val="18"/>
              </w:rPr>
              <w:t>Name</w:t>
            </w:r>
          </w:p>
        </w:tc>
        <w:tc>
          <w:tcPr>
            <w:tcW w:type="dxa" w:w="3402"/>
            <w:shd w:val="clear" w:color="auto" w:fill="4B2FA8"/>
          </w:tcPr>
          <w:p>
            <w:r/>
            <w:r>
              <w:rPr>
                <w:b/>
                <w:i w:val="0"/>
                <w:color w:val="FFFFFF"/>
                <w:sz w:val="18"/>
              </w:rPr>
              <w:t>Category</w:t>
            </w:r>
          </w:p>
        </w:tc>
        <w:tc>
          <w:tcPr>
            <w:tcW w:type="dxa" w:w="2268"/>
            <w:shd w:val="clear" w:color="auto" w:fill="4B2FA8"/>
          </w:tcPr>
          <w:p>
            <w:r/>
            <w:r>
              <w:rPr>
                <w:b/>
                <w:i w:val="0"/>
                <w:color w:val="FFFFFF"/>
                <w:sz w:val="18"/>
              </w:rPr>
              <w:t>Position</w:t>
            </w:r>
          </w:p>
        </w:tc>
      </w:tr>
      <w:tr>
        <w:tc>
          <w:tcPr>
            <w:tcW w:type="dxa" w:w="3402"/>
          </w:tcPr>
          <w:p>
            <w:r/>
            <w:r>
              <w:rPr>
                <w:b w:val="0"/>
                <w:i w:val="0"/>
                <w:sz w:val="18"/>
                <w:highlight w:val="yellow"/>
              </w:rPr>
              <w:t>[Name]</w:t>
            </w:r>
          </w:p>
        </w:tc>
        <w:tc>
          <w:tcPr>
            <w:tcW w:type="dxa" w:w="3402"/>
          </w:tcPr>
          <w:p>
            <w:r/>
            <w:r>
              <w:rPr>
                <w:b w:val="0"/>
                <w:i w:val="0"/>
                <w:sz w:val="18"/>
              </w:rPr>
              <w:t>Independent Director</w:t>
            </w:r>
          </w:p>
        </w:tc>
        <w:tc>
          <w:tcPr>
            <w:tcW w:type="dxa" w:w="2268"/>
          </w:tcPr>
          <w:p>
            <w:r/>
            <w:r>
              <w:rPr>
                <w:b w:val="0"/>
                <w:i w:val="0"/>
                <w:sz w:val="18"/>
              </w:rPr>
              <w:t>Chairperson</w:t>
            </w:r>
          </w:p>
        </w:tc>
      </w:tr>
      <w:tr>
        <w:tc>
          <w:tcPr>
            <w:tcW w:type="dxa" w:w="3402"/>
          </w:tcPr>
          <w:p>
            <w:r/>
            <w:r>
              <w:rPr>
                <w:b w:val="0"/>
                <w:i w:val="0"/>
                <w:sz w:val="18"/>
                <w:highlight w:val="yellow"/>
              </w:rPr>
              <w:t>[Name]</w:t>
            </w:r>
          </w:p>
        </w:tc>
        <w:tc>
          <w:tcPr>
            <w:tcW w:type="dxa" w:w="3402"/>
          </w:tcPr>
          <w:p>
            <w:r/>
            <w:r>
              <w:rPr>
                <w:b w:val="0"/>
                <w:i w:val="0"/>
                <w:sz w:val="18"/>
              </w:rPr>
              <w:t>Independent Director</w:t>
            </w:r>
          </w:p>
        </w:tc>
        <w:tc>
          <w:tcPr>
            <w:tcW w:type="dxa" w:w="2268"/>
          </w:tcPr>
          <w:p>
            <w:r/>
            <w:r>
              <w:rPr>
                <w:b w:val="0"/>
                <w:i w:val="0"/>
                <w:sz w:val="18"/>
              </w:rPr>
              <w:t>Member</w:t>
            </w:r>
          </w:p>
        </w:tc>
      </w:tr>
      <w:tr>
        <w:tc>
          <w:tcPr>
            <w:tcW w:type="dxa" w:w="3402"/>
          </w:tcPr>
          <w:p>
            <w:r/>
            <w:r>
              <w:rPr>
                <w:b w:val="0"/>
                <w:i w:val="0"/>
                <w:sz w:val="18"/>
                <w:highlight w:val="yellow"/>
              </w:rPr>
              <w:t>[Name]</w:t>
            </w:r>
          </w:p>
        </w:tc>
        <w:tc>
          <w:tcPr>
            <w:tcW w:type="dxa" w:w="3402"/>
          </w:tcPr>
          <w:p>
            <w:r/>
            <w:r>
              <w:rPr>
                <w:b w:val="0"/>
                <w:i w:val="0"/>
                <w:sz w:val="18"/>
                <w:highlight w:val="yellow"/>
              </w:rPr>
              <w:t>[Executive / Non-Executive]</w:t>
            </w:r>
            <w:r>
              <w:rPr>
                <w:b w:val="0"/>
                <w:i w:val="0"/>
                <w:sz w:val="18"/>
              </w:rPr>
              <w:t xml:space="preserve"> Director</w:t>
            </w:r>
          </w:p>
        </w:tc>
        <w:tc>
          <w:tcPr>
            <w:tcW w:type="dxa" w:w="2268"/>
          </w:tcPr>
          <w:p>
            <w:r/>
            <w:r>
              <w:rPr>
                <w:b w:val="0"/>
                <w:i w:val="0"/>
                <w:sz w:val="18"/>
              </w:rPr>
              <w:t>Member</w:t>
            </w:r>
          </w:p>
        </w:tc>
      </w:tr>
    </w:tbl>
    <w:p>
      <w:pPr>
        <w:spacing w:after="40"/>
      </w:pPr>
    </w:p>
    <w:p>
      <w:pPr>
        <w:ind w:left="340"/>
        <w:jc w:val="both"/>
      </w:pPr>
      <w:r>
        <w:rPr>
          <w:b/>
        </w:rPr>
        <w:t xml:space="preserve">RESOLVED FURTHER </w:t>
      </w:r>
      <w:r>
        <w:rPr>
          <w:b w:val="0"/>
          <w:i w:val="0"/>
        </w:rPr>
        <w:t>THAT the terms of reference of the Audit Committee, as placed before the Board (covering among other things the matters listed in section 177(4), approval of related party transactions, oversight of the vigil mechanism and review of the use of issue proceeds), be and are hereby approved, and the Company Secretary shall act as secretary to the Committee.</w:t>
      </w:r>
    </w:p>
    <w:p>
      <w:r>
        <w:rPr>
          <w:b w:val="0"/>
          <w:i w:val="0"/>
          <w:color w:val="555555"/>
          <w:sz w:val="18"/>
        </w:rPr>
        <w:t>At least three directors with independent directors forming a majority; majority including the chairperson able to read and understand financial statements (s.177(2)).</w:t>
      </w:r>
    </w:p>
    <w:p>
      <w:pPr>
        <w:pStyle w:val="Heading2"/>
      </w:pPr>
      <w:r>
        <w:t>6B. Nomination and remuneration committee (s.178(1))</w:t>
      </w:r>
    </w:p>
    <w:p>
      <w:pPr>
        <w:ind w:left="340"/>
        <w:jc w:val="both"/>
      </w:pPr>
      <w:r>
        <w:rPr>
          <w:b/>
        </w:rPr>
        <w:t xml:space="preserve">RESOLVED </w:t>
      </w:r>
      <w:r>
        <w:rPr>
          <w:b w:val="0"/>
          <w:i w:val="0"/>
        </w:rPr>
        <w:t xml:space="preserve">THAT pursuant to section 178(1) of the Companies Act, 2013, a Nomination and Remuneration Committee be and is hereby constituted with effect from </w:t>
      </w:r>
      <w:r>
        <w:rPr>
          <w:b w:val="0"/>
          <w:i w:val="0"/>
          <w:highlight w:val="yellow"/>
        </w:rPr>
        <w:t>[date]</w:t>
      </w:r>
      <w:r>
        <w:rPr>
          <w:b w:val="0"/>
          <w:i w:val="0"/>
        </w:rPr>
        <w:t xml:space="preserve"> comprising </w:t>
      </w:r>
      <w:r>
        <w:rPr>
          <w:b w:val="0"/>
          <w:i w:val="0"/>
          <w:highlight w:val="yellow"/>
        </w:rPr>
        <w:t>[Name]</w:t>
      </w:r>
      <w:r>
        <w:rPr>
          <w:b w:val="0"/>
          <w:i w:val="0"/>
        </w:rPr>
        <w:t xml:space="preserve"> (Independent Director, Chairperson), </w:t>
      </w:r>
      <w:r>
        <w:rPr>
          <w:b w:val="0"/>
          <w:i w:val="0"/>
          <w:highlight w:val="yellow"/>
        </w:rPr>
        <w:t>[Name]</w:t>
      </w:r>
      <w:r>
        <w:rPr>
          <w:b w:val="0"/>
          <w:i w:val="0"/>
        </w:rPr>
        <w:t xml:space="preserve"> (Independent Director) and </w:t>
      </w:r>
      <w:r>
        <w:rPr>
          <w:b w:val="0"/>
          <w:i w:val="0"/>
          <w:highlight w:val="yellow"/>
        </w:rPr>
        <w:t>[Name]</w:t>
      </w:r>
      <w:r>
        <w:rPr>
          <w:b w:val="0"/>
          <w:i w:val="0"/>
        </w:rPr>
        <w:t xml:space="preserve"> (Non-Executive Director), with the terms of reference placed before the Board, including formulation of the policy under section 178(3) and the criteria for evaluating the board, its committees and individual directors.</w:t>
      </w:r>
    </w:p>
    <w:p>
      <w:r>
        <w:rPr>
          <w:b w:val="0"/>
          <w:i w:val="0"/>
          <w:color w:val="555555"/>
          <w:sz w:val="18"/>
        </w:rPr>
        <w:t>Three or more non-executive directors, at least half independent; the chairperson of the company may be a member but not chair (s.178(1)).</w:t>
      </w:r>
    </w:p>
    <w:p>
      <w:pPr>
        <w:pStyle w:val="Heading2"/>
      </w:pPr>
      <w:r>
        <w:t>6C. Stakeholders' relationship committee (s.178(5))</w:t>
      </w:r>
    </w:p>
    <w:p>
      <w:pPr>
        <w:ind w:left="340"/>
        <w:jc w:val="both"/>
      </w:pPr>
      <w:r>
        <w:rPr>
          <w:b/>
        </w:rPr>
        <w:t xml:space="preserve">RESOLVED </w:t>
      </w:r>
      <w:r>
        <w:rPr>
          <w:b w:val="0"/>
          <w:i w:val="0"/>
        </w:rPr>
        <w:t xml:space="preserve">THAT pursuant to section 178(5) of the Companies Act, 2013, a Stakeholders' Relationship Committee be and is hereby constituted with effect from </w:t>
      </w:r>
      <w:r>
        <w:rPr>
          <w:b w:val="0"/>
          <w:i w:val="0"/>
          <w:highlight w:val="yellow"/>
        </w:rPr>
        <w:t>[date]</w:t>
      </w:r>
      <w:r>
        <w:rPr>
          <w:b w:val="0"/>
          <w:i w:val="0"/>
        </w:rPr>
        <w:t xml:space="preserve"> comprising </w:t>
      </w:r>
      <w:r>
        <w:rPr>
          <w:b w:val="0"/>
          <w:i w:val="0"/>
          <w:highlight w:val="yellow"/>
        </w:rPr>
        <w:t>[Name]</w:t>
      </w:r>
      <w:r>
        <w:rPr>
          <w:b w:val="0"/>
          <w:i w:val="0"/>
        </w:rPr>
        <w:t xml:space="preserve"> (Non-Executive Director, Chairperson), </w:t>
      </w:r>
      <w:r>
        <w:rPr>
          <w:b w:val="0"/>
          <w:i w:val="0"/>
          <w:highlight w:val="yellow"/>
        </w:rPr>
        <w:t>[Name]</w:t>
      </w:r>
      <w:r>
        <w:rPr>
          <w:b w:val="0"/>
          <w:i w:val="0"/>
        </w:rPr>
        <w:t xml:space="preserve"> and </w:t>
      </w:r>
      <w:r>
        <w:rPr>
          <w:b w:val="0"/>
          <w:i w:val="0"/>
          <w:highlight w:val="yellow"/>
        </w:rPr>
        <w:t>[Name]</w:t>
      </w:r>
      <w:r>
        <w:rPr>
          <w:b w:val="0"/>
          <w:i w:val="0"/>
        </w:rPr>
        <w:t>, to consider and resolve the grievances of security holders, and the terms of reference placed before the Board be and are hereby approved.</w:t>
      </w:r>
    </w:p>
    <w:p>
      <w:r>
        <w:rPr>
          <w:b w:val="0"/>
          <w:i w:val="0"/>
          <w:color w:val="555555"/>
          <w:sz w:val="18"/>
        </w:rPr>
        <w:t>Mandatory where the company has more than 1,000 security holders at any time in the year. Many SME issuers constitute it before listing because the public issue will cross that number.</w:t>
      </w:r>
    </w:p>
    <w:p>
      <w:pPr>
        <w:pStyle w:val="Heading1"/>
      </w:pPr>
      <w:r>
        <w:t>7. Borrowing powers (s.180(1)(c)): special resolution of members</w:t>
      </w:r>
    </w:p>
    <w:p>
      <w:pPr>
        <w:ind w:left="340"/>
        <w:jc w:val="both"/>
      </w:pPr>
      <w:r>
        <w:rPr>
          <w:b/>
        </w:rPr>
        <w:t xml:space="preserve">RESOLVED </w:t>
      </w:r>
      <w:r>
        <w:rPr>
          <w:b w:val="0"/>
          <w:i w:val="0"/>
        </w:rPr>
        <w:t>THAT in supersession of all earlier resolutions passed in this regard and pursuant to section 180(1)(c) and other applicable provisions of the Companies Act, 2013, the consent of the members be and is hereby accorded to the Board of Directors (including any committee thereof) to borrow from time to time any sum or sums of money, on such terms and conditions as the Board may think fit, notwithstanding that the money to be borrowed together with the money already borrowed by the Company (apart from temporary loans obtained from the Company's bankers in the ordinary course of business) may exceed the aggregate of the paid-up share capital, free reserves and securities premium of the Company, provided that the total amount so borrowed and outstanding at any time shall not exceed ₹</w:t>
      </w:r>
      <w:r>
        <w:rPr>
          <w:b w:val="0"/>
          <w:i w:val="0"/>
          <w:highlight w:val="yellow"/>
        </w:rPr>
        <w:t>[amount]</w:t>
      </w:r>
      <w:r>
        <w:rPr>
          <w:b w:val="0"/>
          <w:i w:val="0"/>
        </w:rPr>
        <w:t xml:space="preserve"> (</w:t>
      </w:r>
      <w:r>
        <w:rPr>
          <w:b w:val="0"/>
          <w:i w:val="0"/>
          <w:highlight w:val="yellow"/>
        </w:rPr>
        <w:t>[words]</w:t>
      </w:r>
      <w:r>
        <w:rPr>
          <w:b w:val="0"/>
          <w:i w:val="0"/>
        </w:rPr>
        <w:t>).</w:t>
      </w:r>
    </w:p>
    <w:p>
      <w:pPr>
        <w:ind w:left="340"/>
        <w:jc w:val="both"/>
      </w:pPr>
      <w:r>
        <w:rPr>
          <w:b/>
        </w:rPr>
        <w:t xml:space="preserve">RESOLVED FURTHER </w:t>
      </w:r>
      <w:r>
        <w:rPr>
          <w:b w:val="0"/>
          <w:i w:val="0"/>
        </w:rPr>
        <w:t>THAT the Board be and is hereby authorised to do all acts, deeds and things necessary to give effect to this resolution.</w:t>
      </w:r>
    </w:p>
    <w:p>
      <w:r>
        <w:rPr>
          <w:b w:val="0"/>
          <w:i w:val="0"/>
          <w:color w:val="555555"/>
          <w:sz w:val="18"/>
        </w:rPr>
        <w:t>Applies once the company is public (private companies are exempt from s.180 under the 2015 exemption notification). Pair with a s.180(1)(a) resolution if the company will create charges on its undertaking.</w:t>
      </w:r>
    </w:p>
    <w:p>
      <w:r>
        <w:br w:type="page"/>
      </w:r>
    </w:p>
    <w:p>
      <w:pPr>
        <w:pStyle w:val="Heading1"/>
      </w:pPr>
      <w:r>
        <w:t>8. Approval of the initial public offer</w:t>
      </w:r>
    </w:p>
    <w:p>
      <w:pPr>
        <w:pStyle w:val="Heading2"/>
      </w:pPr>
      <w:r>
        <w:t>8A. Board resolution: approve the IPO, recommend to members, constitute IPO committee</w:t>
      </w:r>
    </w:p>
    <w:p>
      <w:pPr>
        <w:ind w:left="340"/>
        <w:jc w:val="both"/>
      </w:pPr>
      <w:r>
        <w:rPr>
          <w:b/>
        </w:rPr>
        <w:t xml:space="preserve">RESOLVED </w:t>
      </w:r>
      <w:r>
        <w:rPr>
          <w:b w:val="0"/>
          <w:i w:val="0"/>
        </w:rPr>
        <w:t xml:space="preserve">THAT pursuant to sections 23, 28, 42 (to the extent applicable), 62(1)(c) and other applicable provisions of the Companies Act, 2013 and the rules made thereunder, Chapter IX of the Securities and Exchange Board of India (Issue of Capital and Disclosure Requirements) Regulations, 2018 ("ICDR Regulations"), the Securities Contracts (Regulation) Rules, 1957, the SEBI (Listing Obligations and Disclosure Requirements) Regulations, 2015, the Foreign Exchange Management Act, 1999 and the rules thereunder, and subject to the approval of the members by special resolution and such approvals of the stock exchange and other authorities as may be required, the consent of the Board be and is hereby accorded to an initial public offer of up to </w:t>
      </w:r>
      <w:r>
        <w:rPr>
          <w:b w:val="0"/>
          <w:i w:val="0"/>
          <w:highlight w:val="yellow"/>
        </w:rPr>
        <w:t>[number]</w:t>
      </w:r>
      <w:r>
        <w:rPr>
          <w:b w:val="0"/>
          <w:i w:val="0"/>
        </w:rPr>
        <w:t xml:space="preserve"> equity shares of face value ₹</w:t>
      </w:r>
      <w:r>
        <w:rPr>
          <w:b w:val="0"/>
          <w:i w:val="0"/>
          <w:highlight w:val="yellow"/>
        </w:rPr>
        <w:t>[10]</w:t>
      </w:r>
      <w:r>
        <w:rPr>
          <w:b w:val="0"/>
          <w:i w:val="0"/>
        </w:rPr>
        <w:t xml:space="preserve"> each ("Equity Shares") at such price as may be determined by the Company in consultation with the lead manager, </w:t>
      </w:r>
      <w:r>
        <w:rPr>
          <w:b w:val="0"/>
          <w:i w:val="0"/>
          <w:highlight w:val="yellow"/>
        </w:rPr>
        <w:t>[comprising a fresh issue of up to [number]</w:t>
      </w:r>
      <w:r>
        <w:rPr>
          <w:b w:val="0"/>
          <w:i w:val="0"/>
        </w:rPr>
        <w:t xml:space="preserve"> Equity Shares aggregating up to ₹</w:t>
      </w:r>
      <w:r>
        <w:rPr>
          <w:b w:val="0"/>
          <w:i w:val="0"/>
          <w:highlight w:val="yellow"/>
        </w:rPr>
        <w:t>[amount]</w:t>
      </w:r>
      <w:r>
        <w:rPr>
          <w:b w:val="0"/>
          <w:i w:val="0"/>
        </w:rPr>
        <w:t xml:space="preserve"> lakh and an offer for sale of up to </w:t>
      </w:r>
      <w:r>
        <w:rPr>
          <w:b w:val="0"/>
          <w:i w:val="0"/>
          <w:highlight w:val="yellow"/>
        </w:rPr>
        <w:t>[number]</w:t>
      </w:r>
      <w:r>
        <w:rPr>
          <w:b w:val="0"/>
          <w:i w:val="0"/>
        </w:rPr>
        <w:t xml:space="preserve"> Equity Shares by the selling shareholders] (the "Issue"), and to list the Equity Shares on the SME platform of </w:t>
      </w:r>
      <w:r>
        <w:rPr>
          <w:b w:val="0"/>
          <w:i w:val="0"/>
          <w:highlight w:val="yellow"/>
        </w:rPr>
        <w:t>[BSE Limited (BSE SME) / National Stock Exchange of India Limited (NSE Emerge)]</w:t>
      </w:r>
      <w:r>
        <w:rPr>
          <w:b w:val="0"/>
          <w:i w:val="0"/>
        </w:rPr>
        <w:t>.</w:t>
      </w:r>
    </w:p>
    <w:p>
      <w:pPr>
        <w:ind w:left="340"/>
        <w:jc w:val="both"/>
      </w:pPr>
      <w:r>
        <w:rPr>
          <w:b/>
        </w:rPr>
        <w:t xml:space="preserve">RESOLVED FURTHER </w:t>
      </w:r>
      <w:r>
        <w:rPr>
          <w:b w:val="0"/>
          <w:i w:val="0"/>
        </w:rPr>
        <w:t xml:space="preserve">THAT the Issue may include a reservation for the market maker and such other categories as may be permitted under the ICDR Regulations, and any offer for sale shall be within the limits of the ICDR Regulations </w:t>
      </w:r>
      <w:r>
        <w:rPr>
          <w:b w:val="0"/>
          <w:i w:val="0"/>
          <w:highlight w:val="yellow"/>
        </w:rPr>
        <w:t>[not exceeding 20% of the Issue size, and no selling shareholder offering more than 50% of its pre-issue shareholding]</w:t>
      </w:r>
      <w:r>
        <w:rPr>
          <w:b w:val="0"/>
          <w:i w:val="0"/>
        </w:rPr>
        <w:t>.</w:t>
      </w:r>
    </w:p>
    <w:p>
      <w:pPr>
        <w:ind w:left="340"/>
        <w:jc w:val="both"/>
      </w:pPr>
      <w:r>
        <w:rPr>
          <w:b/>
        </w:rPr>
        <w:t xml:space="preserve">RESOLVED FURTHER </w:t>
      </w:r>
      <w:r>
        <w:rPr>
          <w:b w:val="0"/>
          <w:i w:val="0"/>
        </w:rPr>
        <w:t xml:space="preserve">THAT an IPO Committee of the Board comprising </w:t>
      </w:r>
      <w:r>
        <w:rPr>
          <w:b w:val="0"/>
          <w:i w:val="0"/>
          <w:highlight w:val="yellow"/>
        </w:rPr>
        <w:t>[Name]</w:t>
      </w:r>
      <w:r>
        <w:rPr>
          <w:b w:val="0"/>
          <w:i w:val="0"/>
        </w:rPr>
        <w:t xml:space="preserve">, </w:t>
      </w:r>
      <w:r>
        <w:rPr>
          <w:b w:val="0"/>
          <w:i w:val="0"/>
          <w:highlight w:val="yellow"/>
        </w:rPr>
        <w:t>[Name]</w:t>
      </w:r>
      <w:r>
        <w:rPr>
          <w:b w:val="0"/>
          <w:i w:val="0"/>
        </w:rPr>
        <w:t xml:space="preserve"> and </w:t>
      </w:r>
      <w:r>
        <w:rPr>
          <w:b w:val="0"/>
          <w:i w:val="0"/>
          <w:highlight w:val="yellow"/>
        </w:rPr>
        <w:t>[Name]</w:t>
      </w:r>
      <w:r>
        <w:rPr>
          <w:b w:val="0"/>
          <w:i w:val="0"/>
        </w:rPr>
        <w:t xml:space="preserve"> be and is hereby constituted and authorised to: (a) finalise and file the draft red herring prospectus / draft prospectus with </w:t>
      </w:r>
      <w:r>
        <w:rPr>
          <w:b w:val="0"/>
          <w:i w:val="0"/>
          <w:highlight w:val="yellow"/>
        </w:rPr>
        <w:t>[BSE / NSE]</w:t>
      </w:r>
      <w:r>
        <w:rPr>
          <w:b w:val="0"/>
          <w:i w:val="0"/>
        </w:rPr>
        <w:t xml:space="preserve"> under section 23(1)(a) and Regulation 246 of the ICDR Regulations, and thereafter the red herring prospectus / prospectus with the stock exchange and the Registrar of Companies; (b) decide the Issue size, price band, Issue period and basis of allotment in consultation with the lead manager; (c) open bank accounts including the public issue account and sponsor bank arrangements; (d) approve and sign agreements with intermediaries; (e) seek in-principle and final approvals; and (f) do all acts necessary for the Issue.</w:t>
      </w:r>
    </w:p>
    <w:p>
      <w:pPr>
        <w:ind w:left="340"/>
        <w:jc w:val="both"/>
      </w:pPr>
      <w:r>
        <w:rPr>
          <w:b/>
        </w:rPr>
        <w:t xml:space="preserve">RESOLVED FURTHER </w:t>
      </w:r>
      <w:r>
        <w:rPr>
          <w:b w:val="0"/>
          <w:i w:val="0"/>
        </w:rPr>
        <w:t xml:space="preserve">THAT the Issue proceeds shall be applied for the objects stated in the offer document, with general corporate purposes not exceeding the limit in Regulation 230 of the ICDR Regulations </w:t>
      </w:r>
      <w:r>
        <w:rPr>
          <w:b w:val="0"/>
          <w:i w:val="0"/>
          <w:highlight w:val="yellow"/>
        </w:rPr>
        <w:t>[15% of the amount raised or ₹10 crore, whichever is lower]</w:t>
      </w:r>
      <w:r>
        <w:rPr>
          <w:b w:val="0"/>
          <w:i w:val="0"/>
        </w:rPr>
        <w:t>, and no part of the proceeds shall be used to repay loans taken from promoters, the promoter group or related parties.</w:t>
      </w:r>
    </w:p>
    <w:p>
      <w:pPr>
        <w:ind w:left="340"/>
        <w:jc w:val="both"/>
      </w:pPr>
      <w:r>
        <w:rPr>
          <w:b/>
        </w:rPr>
        <w:t xml:space="preserve">RESOLVED FURTHER </w:t>
      </w:r>
      <w:r>
        <w:rPr>
          <w:b w:val="0"/>
          <w:i w:val="0"/>
        </w:rPr>
        <w:t xml:space="preserve">THAT the Board recommends the special resolution under section 62(1)(c) for the approval of the members at the general meeting to be held on </w:t>
      </w:r>
      <w:r>
        <w:rPr>
          <w:b w:val="0"/>
          <w:i w:val="0"/>
          <w:highlight w:val="yellow"/>
        </w:rPr>
        <w:t>[date]</w:t>
      </w:r>
      <w:r>
        <w:rPr>
          <w:b w:val="0"/>
          <w:i w:val="0"/>
        </w:rPr>
        <w:t>.</w:t>
      </w:r>
    </w:p>
    <w:p>
      <w:pPr>
        <w:pStyle w:val="Heading2"/>
      </w:pPr>
      <w:r>
        <w:t>8B. Special resolution of members (s.62(1)(c), s.23)</w:t>
      </w:r>
    </w:p>
    <w:p>
      <w:pPr>
        <w:ind w:left="340"/>
        <w:jc w:val="both"/>
      </w:pPr>
      <w:r>
        <w:rPr>
          <w:b/>
        </w:rPr>
        <w:t xml:space="preserve">RESOLVED </w:t>
      </w:r>
      <w:r>
        <w:rPr>
          <w:b w:val="0"/>
          <w:i w:val="0"/>
        </w:rPr>
        <w:t xml:space="preserve">THAT pursuant to sections 23, 62(1)(c) and other applicable provisions of the Companies Act, 2013 and the rules thereunder, the ICDR Regulations and other applicable laws, and subject to such approvals as may be required, the consent of the members be and is hereby accorded to the Board (including any committee thereof) to create, offer, issue and allot up to </w:t>
      </w:r>
      <w:r>
        <w:rPr>
          <w:b w:val="0"/>
          <w:i w:val="0"/>
          <w:highlight w:val="yellow"/>
        </w:rPr>
        <w:t>[number]</w:t>
      </w:r>
      <w:r>
        <w:rPr>
          <w:b w:val="0"/>
          <w:i w:val="0"/>
        </w:rPr>
        <w:t xml:space="preserve"> equity shares of face value ₹</w:t>
      </w:r>
      <w:r>
        <w:rPr>
          <w:b w:val="0"/>
          <w:i w:val="0"/>
          <w:highlight w:val="yellow"/>
        </w:rPr>
        <w:t>[10]</w:t>
      </w:r>
      <w:r>
        <w:rPr>
          <w:b w:val="0"/>
          <w:i w:val="0"/>
        </w:rPr>
        <w:t xml:space="preserve"> each by way of an initial public offer to the public at such price as may be determined in accordance with the ICDR Regulations, in one or more tranches, to such persons including retail individual investors, non-institutional investors, qualified institutional buyers, the market maker, employees (if any) and other eligible persons as the Board may decide, and to list the equity shares on </w:t>
      </w:r>
      <w:r>
        <w:rPr>
          <w:b w:val="0"/>
          <w:i w:val="0"/>
          <w:highlight w:val="yellow"/>
        </w:rPr>
        <w:t>[BSE SME / NSE Emerge]</w:t>
      </w:r>
      <w:r>
        <w:rPr>
          <w:b w:val="0"/>
          <w:i w:val="0"/>
        </w:rPr>
        <w:t>.</w:t>
      </w:r>
    </w:p>
    <w:p>
      <w:pPr>
        <w:ind w:left="340"/>
        <w:jc w:val="both"/>
      </w:pPr>
      <w:r>
        <w:rPr>
          <w:b/>
        </w:rPr>
        <w:t xml:space="preserve">RESOLVED FURTHER </w:t>
      </w:r>
      <w:r>
        <w:rPr>
          <w:b w:val="0"/>
          <w:i w:val="0"/>
        </w:rPr>
        <w:t>THAT the equity shares so allotted shall rank pari passu in all respects with the existing equity shares of the Company.</w:t>
      </w:r>
    </w:p>
    <w:p>
      <w:pPr>
        <w:ind w:left="340"/>
        <w:jc w:val="both"/>
      </w:pPr>
      <w:r>
        <w:rPr>
          <w:b/>
        </w:rPr>
        <w:t xml:space="preserve">RESOLVED FURTHER </w:t>
      </w:r>
      <w:r>
        <w:rPr>
          <w:b w:val="0"/>
          <w:i w:val="0"/>
        </w:rPr>
        <w:t>THAT the Board (including the IPO Committee) be and is hereby authorised to settle all questions, difficulties or doubts that may arise and to do all acts necessary to give effect to this resolution.</w:t>
      </w:r>
    </w:p>
    <w:p>
      <w:r>
        <w:rPr>
          <w:b w:val="0"/>
          <w:i w:val="0"/>
          <w:color w:val="555555"/>
          <w:sz w:val="18"/>
        </w:rPr>
        <w:t>SME offer documents are filed with the exchange, not SEBI, and the draft is placed for public comments for 21 days (ICDR Reg 247, as amended 2025). Selling shareholders give their own consent letters.</w:t>
      </w:r>
    </w:p>
    <w:p>
      <w:pPr>
        <w:pStyle w:val="Heading1"/>
      </w:pPr>
      <w:r>
        <w:t>9. Appointment of lead manager, RTA, market maker and other intermediaries</w:t>
      </w:r>
    </w:p>
    <w:p>
      <w:pPr>
        <w:ind w:left="340"/>
        <w:jc w:val="both"/>
      </w:pPr>
      <w:r>
        <w:rPr>
          <w:b/>
        </w:rPr>
        <w:t xml:space="preserve">RESOLVED </w:t>
      </w:r>
      <w:r>
        <w:rPr>
          <w:b w:val="0"/>
          <w:i w:val="0"/>
        </w:rPr>
        <w:t>THAT, in connection with the proposed Issue, the Board / IPO Committee hereby approves the appointment of the following intermediaries on the terms of their engagement letters placed before the meeting:</w:t>
      </w:r>
    </w:p>
    <w:tbl>
      <w:tblPr>
        <w:tblStyle w:val="TableGrid"/>
        <w:tblW w:type="auto" w:w="0"/>
        <w:jc w:val="center"/>
        <w:tblLayout w:type="fixed"/>
        <w:tblLook w:firstColumn="1" w:firstRow="1" w:lastColumn="0" w:lastRow="0" w:noHBand="0" w:noVBand="1" w:val="04A0"/>
      </w:tblPr>
      <w:tblGrid>
        <w:gridCol w:w="3685"/>
        <w:gridCol w:w="2835"/>
        <w:gridCol w:w="2835"/>
      </w:tblGrid>
      <w:tr>
        <w:tc>
          <w:tcPr>
            <w:tcW w:type="dxa" w:w="3685"/>
            <w:shd w:val="clear" w:color="auto" w:fill="4B2FA8"/>
          </w:tcPr>
          <w:p>
            <w:r/>
            <w:r>
              <w:rPr>
                <w:b/>
                <w:i w:val="0"/>
                <w:color w:val="FFFFFF"/>
                <w:sz w:val="18"/>
              </w:rPr>
              <w:t>Role</w:t>
            </w:r>
          </w:p>
        </w:tc>
        <w:tc>
          <w:tcPr>
            <w:tcW w:type="dxa" w:w="2835"/>
            <w:shd w:val="clear" w:color="auto" w:fill="4B2FA8"/>
          </w:tcPr>
          <w:p>
            <w:r/>
            <w:r>
              <w:rPr>
                <w:b/>
                <w:i w:val="0"/>
                <w:color w:val="FFFFFF"/>
                <w:sz w:val="18"/>
              </w:rPr>
              <w:t>Name</w:t>
            </w:r>
          </w:p>
        </w:tc>
        <w:tc>
          <w:tcPr>
            <w:tcW w:type="dxa" w:w="2835"/>
            <w:shd w:val="clear" w:color="auto" w:fill="4B2FA8"/>
          </w:tcPr>
          <w:p>
            <w:r/>
            <w:r>
              <w:rPr>
                <w:b/>
                <w:i w:val="0"/>
                <w:color w:val="FFFFFF"/>
                <w:sz w:val="18"/>
              </w:rPr>
              <w:t>SEBI registration no.</w:t>
            </w:r>
          </w:p>
        </w:tc>
      </w:tr>
      <w:tr>
        <w:tc>
          <w:tcPr>
            <w:tcW w:type="dxa" w:w="3685"/>
          </w:tcPr>
          <w:p>
            <w:r/>
            <w:r>
              <w:rPr>
                <w:b w:val="0"/>
                <w:i w:val="0"/>
                <w:sz w:val="18"/>
              </w:rPr>
              <w:t>Book running lead manager</w:t>
            </w:r>
          </w:p>
        </w:tc>
        <w:tc>
          <w:tcPr>
            <w:tcW w:type="dxa" w:w="2835"/>
          </w:tcPr>
          <w:p>
            <w:r/>
            <w:r>
              <w:rPr>
                <w:b w:val="0"/>
                <w:i w:val="0"/>
                <w:sz w:val="18"/>
                <w:highlight w:val="yellow"/>
              </w:rPr>
              <w:t>[ ]</w:t>
            </w:r>
          </w:p>
        </w:tc>
        <w:tc>
          <w:tcPr>
            <w:tcW w:type="dxa" w:w="2835"/>
          </w:tcPr>
          <w:p>
            <w:r/>
            <w:r>
              <w:rPr>
                <w:b w:val="0"/>
                <w:i w:val="0"/>
                <w:sz w:val="18"/>
              </w:rPr>
              <w:t>INM</w:t>
            </w:r>
            <w:r>
              <w:rPr>
                <w:b w:val="0"/>
                <w:i w:val="0"/>
                <w:sz w:val="18"/>
                <w:highlight w:val="yellow"/>
              </w:rPr>
              <w:t>[ ]</w:t>
            </w:r>
          </w:p>
        </w:tc>
      </w:tr>
      <w:tr>
        <w:tc>
          <w:tcPr>
            <w:tcW w:type="dxa" w:w="3685"/>
          </w:tcPr>
          <w:p>
            <w:r/>
            <w:r>
              <w:rPr>
                <w:b w:val="0"/>
                <w:i w:val="0"/>
                <w:sz w:val="18"/>
              </w:rPr>
              <w:t>Registrar to the Issue (RTA)</w:t>
            </w:r>
          </w:p>
        </w:tc>
        <w:tc>
          <w:tcPr>
            <w:tcW w:type="dxa" w:w="2835"/>
          </w:tcPr>
          <w:p>
            <w:r/>
            <w:r>
              <w:rPr>
                <w:b w:val="0"/>
                <w:i w:val="0"/>
                <w:sz w:val="18"/>
                <w:highlight w:val="yellow"/>
              </w:rPr>
              <w:t>[ ]</w:t>
            </w:r>
          </w:p>
        </w:tc>
        <w:tc>
          <w:tcPr>
            <w:tcW w:type="dxa" w:w="2835"/>
          </w:tcPr>
          <w:p>
            <w:r/>
            <w:r>
              <w:rPr>
                <w:b w:val="0"/>
                <w:i w:val="0"/>
                <w:sz w:val="18"/>
              </w:rPr>
              <w:t>INR</w:t>
            </w:r>
            <w:r>
              <w:rPr>
                <w:b w:val="0"/>
                <w:i w:val="0"/>
                <w:sz w:val="18"/>
                <w:highlight w:val="yellow"/>
              </w:rPr>
              <w:t>[ ]</w:t>
            </w:r>
          </w:p>
        </w:tc>
      </w:tr>
      <w:tr>
        <w:tc>
          <w:tcPr>
            <w:tcW w:type="dxa" w:w="3685"/>
          </w:tcPr>
          <w:p>
            <w:r/>
            <w:r>
              <w:rPr>
                <w:b w:val="0"/>
                <w:i w:val="0"/>
                <w:sz w:val="18"/>
              </w:rPr>
              <w:t>Market maker</w:t>
            </w:r>
          </w:p>
        </w:tc>
        <w:tc>
          <w:tcPr>
            <w:tcW w:type="dxa" w:w="2835"/>
          </w:tcPr>
          <w:p>
            <w:r/>
            <w:r>
              <w:rPr>
                <w:b w:val="0"/>
                <w:i w:val="0"/>
                <w:sz w:val="18"/>
                <w:highlight w:val="yellow"/>
              </w:rPr>
              <w:t>[ ]</w:t>
            </w:r>
          </w:p>
        </w:tc>
        <w:tc>
          <w:tcPr>
            <w:tcW w:type="dxa" w:w="2835"/>
          </w:tcPr>
          <w:p>
            <w:r/>
            <w:r>
              <w:rPr>
                <w:b w:val="0"/>
                <w:i w:val="0"/>
                <w:sz w:val="18"/>
                <w:highlight w:val="yellow"/>
              </w:rPr>
              <w:t>[ ]</w:t>
            </w:r>
          </w:p>
        </w:tc>
      </w:tr>
      <w:tr>
        <w:tc>
          <w:tcPr>
            <w:tcW w:type="dxa" w:w="3685"/>
          </w:tcPr>
          <w:p>
            <w:r/>
            <w:r>
              <w:rPr>
                <w:b w:val="0"/>
                <w:i w:val="0"/>
                <w:sz w:val="18"/>
              </w:rPr>
              <w:t>Underwriter</w:t>
            </w:r>
          </w:p>
        </w:tc>
        <w:tc>
          <w:tcPr>
            <w:tcW w:type="dxa" w:w="2835"/>
          </w:tcPr>
          <w:p>
            <w:r/>
            <w:r>
              <w:rPr>
                <w:b w:val="0"/>
                <w:i w:val="0"/>
                <w:sz w:val="18"/>
                <w:highlight w:val="yellow"/>
              </w:rPr>
              <w:t>[ ]</w:t>
            </w:r>
          </w:p>
        </w:tc>
        <w:tc>
          <w:tcPr>
            <w:tcW w:type="dxa" w:w="2835"/>
          </w:tcPr>
          <w:p>
            <w:r/>
            <w:r>
              <w:rPr>
                <w:b w:val="0"/>
                <w:i w:val="0"/>
                <w:sz w:val="18"/>
                <w:highlight w:val="yellow"/>
              </w:rPr>
              <w:t>[ ]</w:t>
            </w:r>
          </w:p>
        </w:tc>
      </w:tr>
      <w:tr>
        <w:tc>
          <w:tcPr>
            <w:tcW w:type="dxa" w:w="3685"/>
          </w:tcPr>
          <w:p>
            <w:r/>
            <w:r>
              <w:rPr>
                <w:b w:val="0"/>
                <w:i w:val="0"/>
                <w:sz w:val="18"/>
              </w:rPr>
              <w:t>Legal counsel to the Issue</w:t>
            </w:r>
          </w:p>
        </w:tc>
        <w:tc>
          <w:tcPr>
            <w:tcW w:type="dxa" w:w="2835"/>
          </w:tcPr>
          <w:p>
            <w:r/>
            <w:r>
              <w:rPr>
                <w:b w:val="0"/>
                <w:i w:val="0"/>
                <w:sz w:val="18"/>
                <w:highlight w:val="yellow"/>
              </w:rPr>
              <w:t>[ ]</w:t>
            </w:r>
          </w:p>
        </w:tc>
        <w:tc>
          <w:tcPr>
            <w:tcW w:type="dxa" w:w="2835"/>
          </w:tcPr>
          <w:p>
            <w:r/>
            <w:r>
              <w:rPr>
                <w:b w:val="0"/>
                <w:i w:val="0"/>
                <w:sz w:val="18"/>
              </w:rPr>
              <w:t>n/a</w:t>
            </w:r>
          </w:p>
        </w:tc>
      </w:tr>
      <w:tr>
        <w:tc>
          <w:tcPr>
            <w:tcW w:type="dxa" w:w="3685"/>
          </w:tcPr>
          <w:p>
            <w:r/>
            <w:r>
              <w:rPr>
                <w:b w:val="0"/>
                <w:i w:val="0"/>
                <w:sz w:val="18"/>
              </w:rPr>
              <w:t>Peer-reviewed auditor for restated financials</w:t>
            </w:r>
          </w:p>
        </w:tc>
        <w:tc>
          <w:tcPr>
            <w:tcW w:type="dxa" w:w="2835"/>
          </w:tcPr>
          <w:p>
            <w:r/>
            <w:r>
              <w:rPr>
                <w:b w:val="0"/>
                <w:i w:val="0"/>
                <w:sz w:val="18"/>
                <w:highlight w:val="yellow"/>
              </w:rPr>
              <w:t>[ ]</w:t>
            </w:r>
          </w:p>
        </w:tc>
        <w:tc>
          <w:tcPr>
            <w:tcW w:type="dxa" w:w="2835"/>
          </w:tcPr>
          <w:p>
            <w:r/>
            <w:r>
              <w:rPr>
                <w:b w:val="0"/>
                <w:i w:val="0"/>
                <w:sz w:val="18"/>
              </w:rPr>
              <w:t xml:space="preserve">Peer review cert. no. </w:t>
            </w:r>
            <w:r>
              <w:rPr>
                <w:b w:val="0"/>
                <w:i w:val="0"/>
                <w:sz w:val="18"/>
                <w:highlight w:val="yellow"/>
              </w:rPr>
              <w:t>[ ]</w:t>
            </w:r>
          </w:p>
        </w:tc>
      </w:tr>
      <w:tr>
        <w:tc>
          <w:tcPr>
            <w:tcW w:type="dxa" w:w="3685"/>
          </w:tcPr>
          <w:p>
            <w:r/>
            <w:r>
              <w:rPr>
                <w:b w:val="0"/>
                <w:i w:val="0"/>
                <w:sz w:val="18"/>
              </w:rPr>
              <w:t>Bankers to the Issue / sponsor bank</w:t>
            </w:r>
          </w:p>
        </w:tc>
        <w:tc>
          <w:tcPr>
            <w:tcW w:type="dxa" w:w="2835"/>
          </w:tcPr>
          <w:p>
            <w:r/>
            <w:r>
              <w:rPr>
                <w:b w:val="0"/>
                <w:i w:val="0"/>
                <w:sz w:val="18"/>
                <w:highlight w:val="yellow"/>
              </w:rPr>
              <w:t>[ ]</w:t>
            </w:r>
          </w:p>
        </w:tc>
        <w:tc>
          <w:tcPr>
            <w:tcW w:type="dxa" w:w="2835"/>
          </w:tcPr>
          <w:p>
            <w:r/>
            <w:r>
              <w:rPr>
                <w:b w:val="0"/>
                <w:i w:val="0"/>
                <w:sz w:val="18"/>
              </w:rPr>
              <w:t>INBI</w:t>
            </w:r>
            <w:r>
              <w:rPr>
                <w:b w:val="0"/>
                <w:i w:val="0"/>
                <w:sz w:val="18"/>
                <w:highlight w:val="yellow"/>
              </w:rPr>
              <w:t>[ ]</w:t>
            </w:r>
          </w:p>
        </w:tc>
      </w:tr>
      <w:tr>
        <w:tc>
          <w:tcPr>
            <w:tcW w:type="dxa" w:w="3685"/>
          </w:tcPr>
          <w:p>
            <w:r/>
            <w:r>
              <w:rPr>
                <w:b w:val="0"/>
                <w:i w:val="0"/>
                <w:sz w:val="18"/>
              </w:rPr>
              <w:t>Monitoring agency (if required)</w:t>
            </w:r>
          </w:p>
        </w:tc>
        <w:tc>
          <w:tcPr>
            <w:tcW w:type="dxa" w:w="2835"/>
          </w:tcPr>
          <w:p>
            <w:r/>
            <w:r>
              <w:rPr>
                <w:b w:val="0"/>
                <w:i w:val="0"/>
                <w:sz w:val="18"/>
                <w:highlight w:val="yellow"/>
              </w:rPr>
              <w:t>[ ]</w:t>
            </w:r>
          </w:p>
        </w:tc>
        <w:tc>
          <w:tcPr>
            <w:tcW w:type="dxa" w:w="2835"/>
          </w:tcPr>
          <w:p>
            <w:r/>
            <w:r>
              <w:rPr>
                <w:b w:val="0"/>
                <w:i w:val="0"/>
                <w:sz w:val="18"/>
                <w:highlight w:val="yellow"/>
              </w:rPr>
              <w:t>[ ]</w:t>
            </w:r>
          </w:p>
        </w:tc>
      </w:tr>
    </w:tbl>
    <w:p>
      <w:pPr>
        <w:spacing w:after="40"/>
      </w:pPr>
    </w:p>
    <w:p>
      <w:pPr>
        <w:ind w:left="340"/>
        <w:jc w:val="both"/>
      </w:pPr>
      <w:r>
        <w:rPr>
          <w:b/>
        </w:rPr>
        <w:t xml:space="preserve">RESOLVED FURTHER </w:t>
      </w:r>
      <w:r>
        <w:rPr>
          <w:b w:val="0"/>
          <w:i w:val="0"/>
        </w:rPr>
        <w:t xml:space="preserve">THAT </w:t>
      </w:r>
      <w:r>
        <w:rPr>
          <w:b w:val="0"/>
          <w:i w:val="0"/>
          <w:highlight w:val="yellow"/>
        </w:rPr>
        <w:t>[Name]</w:t>
      </w:r>
      <w:r>
        <w:rPr>
          <w:b w:val="0"/>
          <w:i w:val="0"/>
        </w:rPr>
        <w:t xml:space="preserve"> be and is hereby authorised to negotiate, finalise and execute the issue agreement, registrar agreement, market making agreement, underwriting agreement, banker to the issue / sponsor bank agreement and other agreements, and to pay fees and expenses as agreed.</w:t>
      </w:r>
    </w:p>
    <w:p>
      <w:r>
        <w:rPr>
          <w:b w:val="0"/>
          <w:i w:val="0"/>
          <w:color w:val="555555"/>
          <w:sz w:val="18"/>
        </w:rPr>
        <w:t>SME issues must be fully underwritten, with the lead manager underwriting at least 15% on its own account, and must have market making for at least three years from listing (ICDR Reg 260 and 261). Confirm the monitoring agency threshold for SME issues with the lead manager.</w:t>
      </w:r>
    </w:p>
    <w:p>
      <w:pPr>
        <w:pStyle w:val="Heading1"/>
      </w:pPr>
      <w:r>
        <w:t>10. Adoption of new articles of association: special resolution</w:t>
      </w:r>
    </w:p>
    <w:p>
      <w:pPr>
        <w:ind w:left="340"/>
        <w:jc w:val="both"/>
      </w:pPr>
      <w:r>
        <w:rPr>
          <w:b/>
        </w:rPr>
        <w:t xml:space="preserve">RESOLVED </w:t>
      </w:r>
      <w:r>
        <w:rPr>
          <w:b w:val="0"/>
          <w:i w:val="0"/>
        </w:rPr>
        <w:t xml:space="preserve">THAT pursuant to section 14 and other applicable provisions of the Companies Act, 2013 and the rules thereunder, the draft regulations contained in the Articles of Association submitted to this meeting be and are hereby approved and adopted in substitution for, and to the entire exclusion of, the existing Articles of Association of the Company, </w:t>
      </w:r>
      <w:r>
        <w:rPr>
          <w:b w:val="0"/>
          <w:i w:val="0"/>
          <w:highlight w:val="yellow"/>
        </w:rPr>
        <w:t>[with Part B (containing special rights of [investor]</w:t>
      </w:r>
      <w:r>
        <w:rPr>
          <w:b w:val="0"/>
          <w:i w:val="0"/>
        </w:rPr>
        <w:t>) automatically terminating and ceasing to have effect on the date of listing of the equity shares on the stock exchange].</w:t>
      </w:r>
    </w:p>
    <w:p>
      <w:pPr>
        <w:ind w:left="340"/>
        <w:jc w:val="both"/>
      </w:pPr>
      <w:r>
        <w:rPr>
          <w:b/>
        </w:rPr>
        <w:t xml:space="preserve">RESOLVED FURTHER </w:t>
      </w:r>
      <w:r>
        <w:rPr>
          <w:b w:val="0"/>
          <w:i w:val="0"/>
        </w:rPr>
        <w:t xml:space="preserve">THAT </w:t>
      </w:r>
      <w:r>
        <w:rPr>
          <w:b w:val="0"/>
          <w:i w:val="0"/>
          <w:highlight w:val="yellow"/>
        </w:rPr>
        <w:t>[Name]</w:t>
      </w:r>
      <w:r>
        <w:rPr>
          <w:b w:val="0"/>
          <w:i w:val="0"/>
        </w:rPr>
        <w:t xml:space="preserve"> be authorised to file MGT-14 and do all acts necessary to give effect to this resolution.</w:t>
      </w:r>
    </w:p>
    <w:p>
      <w:r>
        <w:rPr>
          <w:b w:val="0"/>
          <w:i w:val="0"/>
          <w:color w:val="555555"/>
          <w:sz w:val="18"/>
        </w:rPr>
        <w:t>The lead manager's counsel will review the articles for listing compatibility (free transferability, no pre-emption or veto rights surviving listing).</w:t>
      </w:r>
    </w:p>
    <w:p>
      <w:pPr>
        <w:pStyle w:val="Heading1"/>
      </w:pPr>
      <w:r>
        <w:t>11. Appointment of compliance officer (LODR Reg 6)</w:t>
      </w:r>
    </w:p>
    <w:p>
      <w:pPr>
        <w:ind w:left="340"/>
        <w:jc w:val="both"/>
      </w:pPr>
      <w:r>
        <w:rPr>
          <w:b/>
        </w:rPr>
        <w:t xml:space="preserve">RESOLVED </w:t>
      </w:r>
      <w:r>
        <w:rPr>
          <w:b w:val="0"/>
          <w:i w:val="0"/>
        </w:rPr>
        <w:t xml:space="preserve">THAT pursuant to Regulation 6 of the SEBI (Listing Obligations and Disclosure Requirements) Regulations, 2015, </w:t>
      </w:r>
      <w:r>
        <w:rPr>
          <w:b w:val="0"/>
          <w:i w:val="0"/>
          <w:highlight w:val="yellow"/>
        </w:rPr>
        <w:t>[Name]</w:t>
      </w:r>
      <w:r>
        <w:rPr>
          <w:b w:val="0"/>
          <w:i w:val="0"/>
        </w:rPr>
        <w:t xml:space="preserve">, Company Secretary and a member of the Institute of Company Secretaries of India (Membership No. </w:t>
      </w:r>
      <w:r>
        <w:rPr>
          <w:b w:val="0"/>
          <w:i w:val="0"/>
          <w:highlight w:val="yellow"/>
        </w:rPr>
        <w:t>[ ]</w:t>
      </w:r>
      <w:r>
        <w:rPr>
          <w:b w:val="0"/>
          <w:i w:val="0"/>
        </w:rPr>
        <w:t xml:space="preserve">), be and is hereby designated as the Compliance Officer of the Company with effect from </w:t>
      </w:r>
      <w:r>
        <w:rPr>
          <w:b w:val="0"/>
          <w:i w:val="0"/>
          <w:highlight w:val="yellow"/>
        </w:rPr>
        <w:t>[date]</w:t>
      </w:r>
      <w:r>
        <w:rPr>
          <w:b w:val="0"/>
          <w:i w:val="0"/>
        </w:rPr>
        <w:t>, responsible for compliance with the SEBI regulations, co-ordination with the stock exchange and the redressal of investor grievances.</w:t>
      </w:r>
    </w:p>
    <w:p>
      <w:pPr>
        <w:ind w:left="340"/>
        <w:jc w:val="both"/>
      </w:pPr>
      <w:r>
        <w:rPr>
          <w:b/>
        </w:rPr>
        <w:t xml:space="preserve">RESOLVED FURTHER </w:t>
      </w:r>
      <w:r>
        <w:rPr>
          <w:b w:val="0"/>
          <w:i w:val="0"/>
        </w:rPr>
        <w:t>THAT the Compliance Officer shall also act as the compliance officer under the SEBI (Prohibition of Insider Trading) Regulations, 2015.</w:t>
      </w:r>
    </w:p>
    <w:p>
      <w:r>
        <w:rPr>
          <w:b w:val="0"/>
          <w:i w:val="0"/>
          <w:color w:val="555555"/>
          <w:sz w:val="18"/>
        </w:rPr>
        <w:t>Reg 6(1): the compliance officer must be a qualified company secretary not more than one level below the board of directors. Reg 6 applies to SME-listed entities (Reg 15(2) exempts only Regs 17 to 27 and paras C, D and E of Schedule V).</w:t>
      </w:r>
    </w:p>
    <w:p>
      <w:pPr>
        <w:pStyle w:val="Heading1"/>
      </w:pPr>
      <w:r>
        <w:t>12. Approval of restated financial information</w:t>
      </w:r>
    </w:p>
    <w:p>
      <w:pPr>
        <w:ind w:left="340"/>
        <w:jc w:val="both"/>
      </w:pPr>
      <w:r>
        <w:rPr>
          <w:b/>
        </w:rPr>
        <w:t xml:space="preserve">RESOLVED </w:t>
      </w:r>
      <w:r>
        <w:rPr>
          <w:b w:val="0"/>
          <w:i w:val="0"/>
        </w:rPr>
        <w:t xml:space="preserve">THAT the restated financial information of the Company </w:t>
      </w:r>
      <w:r>
        <w:rPr>
          <w:b w:val="0"/>
          <w:i w:val="0"/>
          <w:highlight w:val="yellow"/>
        </w:rPr>
        <w:t>[on a consolidated basis]</w:t>
      </w:r>
      <w:r>
        <w:rPr>
          <w:b w:val="0"/>
          <w:i w:val="0"/>
        </w:rPr>
        <w:t xml:space="preserve"> comprising the restated statement of assets and liabilities as at </w:t>
      </w:r>
      <w:r>
        <w:rPr>
          <w:b w:val="0"/>
          <w:i w:val="0"/>
          <w:highlight w:val="yellow"/>
        </w:rPr>
        <w:t>[31 March 2026]</w:t>
      </w:r>
      <w:r>
        <w:rPr>
          <w:b w:val="0"/>
          <w:i w:val="0"/>
        </w:rPr>
        <w:t xml:space="preserve">, </w:t>
      </w:r>
      <w:r>
        <w:rPr>
          <w:b w:val="0"/>
          <w:i w:val="0"/>
          <w:highlight w:val="yellow"/>
        </w:rPr>
        <w:t>[31 March 2025]</w:t>
      </w:r>
      <w:r>
        <w:rPr>
          <w:b w:val="0"/>
          <w:i w:val="0"/>
        </w:rPr>
        <w:t xml:space="preserve"> and </w:t>
      </w:r>
      <w:r>
        <w:rPr>
          <w:b w:val="0"/>
          <w:i w:val="0"/>
          <w:highlight w:val="yellow"/>
        </w:rPr>
        <w:t>[31 March 2024]</w:t>
      </w:r>
      <w:r>
        <w:rPr>
          <w:b w:val="0"/>
          <w:i w:val="0"/>
        </w:rPr>
        <w:t xml:space="preserve"> </w:t>
      </w:r>
      <w:r>
        <w:rPr>
          <w:b w:val="0"/>
          <w:i w:val="0"/>
          <w:highlight w:val="yellow"/>
        </w:rPr>
        <w:t>[and [stub date]</w:t>
      </w:r>
      <w:r>
        <w:rPr>
          <w:b w:val="0"/>
          <w:i w:val="0"/>
        </w:rPr>
        <w:t xml:space="preserve">], the restated statements of profit and loss and cash flows for the years / period then ended, the summary of significant accounting policies and other explanatory information, prepared in accordance with the ICDR Regulations and the Guidance Note on Reports in Company Prospectuses (Revised 2019) issued by the Institute of Chartered Accountants of India, and examined by </w:t>
      </w:r>
      <w:r>
        <w:rPr>
          <w:b w:val="0"/>
          <w:i w:val="0"/>
          <w:highlight w:val="yellow"/>
        </w:rPr>
        <w:t>[Auditor Name]</w:t>
      </w:r>
      <w:r>
        <w:rPr>
          <w:b w:val="0"/>
          <w:i w:val="0"/>
        </w:rPr>
        <w:t xml:space="preserve">, Chartered Accountants (Firm Registration No. </w:t>
      </w:r>
      <w:r>
        <w:rPr>
          <w:b w:val="0"/>
          <w:i w:val="0"/>
          <w:highlight w:val="yellow"/>
        </w:rPr>
        <w:t>[ ]</w:t>
      </w:r>
      <w:r>
        <w:rPr>
          <w:b w:val="0"/>
          <w:i w:val="0"/>
        </w:rPr>
        <w:t xml:space="preserve">; peer review certificate no. </w:t>
      </w:r>
      <w:r>
        <w:rPr>
          <w:b w:val="0"/>
          <w:i w:val="0"/>
          <w:highlight w:val="yellow"/>
        </w:rPr>
        <w:t>[ ]</w:t>
      </w:r>
      <w:r>
        <w:rPr>
          <w:b w:val="0"/>
          <w:i w:val="0"/>
        </w:rPr>
        <w:t xml:space="preserve">), as placed before the meeting </w:t>
      </w:r>
      <w:r>
        <w:rPr>
          <w:b w:val="0"/>
          <w:i w:val="0"/>
          <w:highlight w:val="yellow"/>
        </w:rPr>
        <w:t>[and recommended by the Audit Committee]</w:t>
      </w:r>
      <w:r>
        <w:rPr>
          <w:b w:val="0"/>
          <w:i w:val="0"/>
        </w:rPr>
        <w:t>, be and are hereby approved.</w:t>
      </w:r>
    </w:p>
    <w:p>
      <w:pPr>
        <w:ind w:left="340"/>
        <w:jc w:val="both"/>
      </w:pPr>
      <w:r>
        <w:rPr>
          <w:b/>
        </w:rPr>
        <w:t xml:space="preserve">RESOLVED FURTHER </w:t>
      </w:r>
      <w:r>
        <w:rPr>
          <w:b w:val="0"/>
          <w:i w:val="0"/>
        </w:rPr>
        <w:t xml:space="preserve">THAT </w:t>
      </w:r>
      <w:r>
        <w:rPr>
          <w:b w:val="0"/>
          <w:i w:val="0"/>
          <w:highlight w:val="yellow"/>
        </w:rPr>
        <w:t>[Name]</w:t>
      </w:r>
      <w:r>
        <w:rPr>
          <w:b w:val="0"/>
          <w:i w:val="0"/>
        </w:rPr>
        <w:t xml:space="preserve">, </w:t>
      </w:r>
      <w:r>
        <w:rPr>
          <w:b w:val="0"/>
          <w:i w:val="0"/>
          <w:highlight w:val="yellow"/>
        </w:rPr>
        <w:t>[Director]</w:t>
      </w:r>
      <w:r>
        <w:rPr>
          <w:b w:val="0"/>
          <w:i w:val="0"/>
        </w:rPr>
        <w:t xml:space="preserve">, and </w:t>
      </w:r>
      <w:r>
        <w:rPr>
          <w:b w:val="0"/>
          <w:i w:val="0"/>
          <w:highlight w:val="yellow"/>
        </w:rPr>
        <w:t>[Name]</w:t>
      </w:r>
      <w:r>
        <w:rPr>
          <w:b w:val="0"/>
          <w:i w:val="0"/>
        </w:rPr>
        <w:t>, Chief Financial Officer, be authorised to sign the restated financial information on behalf of the Board, and the restated financial information together with the examination report be included in the draft red herring prospectus / draft prospectus, red herring prospectus and prospectus.</w:t>
      </w:r>
    </w:p>
    <w:p>
      <w:pPr>
        <w:ind w:left="340"/>
        <w:jc w:val="both"/>
      </w:pPr>
      <w:r>
        <w:rPr>
          <w:b/>
        </w:rPr>
        <w:t xml:space="preserve">RESOLVED FURTHER </w:t>
      </w:r>
      <w:r>
        <w:rPr>
          <w:b w:val="0"/>
          <w:i w:val="0"/>
        </w:rPr>
        <w:t xml:space="preserve">THAT the key performance indicators, the statement of special tax benefits, the capitalisation statement and the statement of financial indebtedness, as certified by </w:t>
      </w:r>
      <w:r>
        <w:rPr>
          <w:b w:val="0"/>
          <w:i w:val="0"/>
          <w:highlight w:val="yellow"/>
        </w:rPr>
        <w:t>[Auditor / peer-reviewed chartered accountant]</w:t>
      </w:r>
      <w:r>
        <w:rPr>
          <w:b w:val="0"/>
          <w:i w:val="0"/>
        </w:rPr>
        <w:t xml:space="preserve"> and placed before the meeting, be and are hereby approved for disclosure in the offer documents.</w:t>
      </w:r>
    </w:p>
    <w:p>
      <w:pPr>
        <w:pStyle w:val="Heading1"/>
      </w:pPr>
      <w:r>
        <w:t>Explanatory statement (s.102): skeleton</w:t>
      </w:r>
    </w:p>
    <w:p>
      <w:pPr>
        <w:tabs>
          <w:tab w:pos="567" w:val="left"/>
        </w:tabs>
        <w:ind w:left="567" w:hanging="567"/>
      </w:pPr>
      <w:r>
        <w:rPr>
          <w:b/>
        </w:rPr>
        <w:t>1.</w:t>
        <w:tab/>
      </w:r>
      <w:r>
        <w:rPr>
          <w:b w:val="0"/>
          <w:i w:val="0"/>
        </w:rPr>
        <w:t xml:space="preserve">Item no. </w:t>
      </w:r>
      <w:r>
        <w:rPr>
          <w:b w:val="0"/>
          <w:i w:val="0"/>
          <w:highlight w:val="yellow"/>
        </w:rPr>
        <w:t>[ ]</w:t>
      </w:r>
      <w:r>
        <w:rPr>
          <w:b w:val="0"/>
          <w:i w:val="0"/>
        </w:rPr>
        <w:t>: purpose of the resolution and the background in two or three sentences.</w:t>
      </w:r>
    </w:p>
    <w:p>
      <w:pPr>
        <w:tabs>
          <w:tab w:pos="567" w:val="left"/>
        </w:tabs>
        <w:ind w:left="567" w:hanging="567"/>
      </w:pPr>
      <w:r>
        <w:rPr>
          <w:b/>
        </w:rPr>
        <w:t>2.</w:t>
        <w:tab/>
      </w:r>
      <w:r>
        <w:rPr>
          <w:b w:val="0"/>
          <w:i w:val="0"/>
        </w:rPr>
        <w:t>Material facts: the section(s) of the Act and SEBI regulations relied on, the amounts or limits proposed, and the reasons.</w:t>
      </w:r>
    </w:p>
    <w:p>
      <w:pPr>
        <w:tabs>
          <w:tab w:pos="567" w:val="left"/>
        </w:tabs>
        <w:ind w:left="567" w:hanging="567"/>
      </w:pPr>
      <w:r>
        <w:rPr>
          <w:b/>
        </w:rPr>
        <w:t>3.</w:t>
        <w:tab/>
      </w:r>
      <w:r>
        <w:rPr>
          <w:b w:val="0"/>
          <w:i w:val="0"/>
        </w:rPr>
        <w:t>Interest of directors, KMP and their relatives, with the extent of shareholding interest (s.102(1)(a)).</w:t>
      </w:r>
    </w:p>
    <w:p>
      <w:pPr>
        <w:tabs>
          <w:tab w:pos="567" w:val="left"/>
        </w:tabs>
        <w:ind w:left="567" w:hanging="567"/>
      </w:pPr>
      <w:r>
        <w:rPr>
          <w:b/>
        </w:rPr>
        <w:t>4.</w:t>
        <w:tab/>
      </w:r>
      <w:r>
        <w:rPr>
          <w:b w:val="0"/>
          <w:i w:val="0"/>
        </w:rPr>
        <w:t>Documents available for inspection and how members can inspect them.</w:t>
      </w:r>
    </w:p>
    <w:p>
      <w:pPr>
        <w:tabs>
          <w:tab w:pos="567" w:val="left"/>
        </w:tabs>
        <w:ind w:left="567" w:hanging="567"/>
      </w:pPr>
      <w:r>
        <w:rPr>
          <w:b/>
        </w:rPr>
        <w:t>5.</w:t>
        <w:tab/>
      </w:r>
      <w:r>
        <w:rPr>
          <w:b w:val="0"/>
          <w:i w:val="0"/>
        </w:rPr>
        <w:t>The Board's recommendation and the type of resolution (ordinary / special).</w:t>
      </w:r>
    </w:p>
    <w:p>
      <w:pPr>
        <w:pStyle w:val="Heading1"/>
      </w:pPr>
      <w:r>
        <w:t>Disclaimer</w:t>
      </w:r>
    </w:p>
    <w:p>
      <w:r>
        <w:rPr>
          <w:b w:val="0"/>
          <w:i w:val="0"/>
          <w:sz w:val="19"/>
        </w:rPr>
        <w:t>These formats are a working aid published on vikashkhanal.in. They are not legal advice and do not create any professional relationship. Laws, regulations, forms and exchange requirements change; confirm the current position with your company secretary, statutory auditor and the lead manager's legal counsel before using any format. Last reviewed 6 October 2026.</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 xml:space="preserve">vikashkhanal.in · SME IPO resolution formats · last reviewed 6 Oct 2026 · not legal advice  ·  Page </w:t>
    </w:r>
    <w:r>
      <w:rPr>
        <w:color w:val="555555"/>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80"/>
      <w:outlineLvl w:val="0"/>
    </w:pPr>
    <w:rPr>
      <w:rFonts w:ascii="Calibri" w:hAnsi="Calibri" w:eastAsia="Calibri" w:cs="Calibri"/>
      <w:b/>
      <w:bCs/>
      <w:color w:val="4B2FA8"/>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eastAsia="Calibri" w:cs="Calibri"/>
      <w:b/>
      <w:bCs/>
      <w:color w:val="4B2FA8"/>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Calibri" w:hAnsi="Calibri" w:eastAsia="Calibri" w:cs="Calibri"/>
      <w:b/>
      <w:bCs/>
      <w:color w:val="222222"/>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color w:val="4B2FA8"/>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and shareholder resolution formats for an SME IPO</dc:title>
  <dc:subject/>
  <dc:creator>Vikash Khanal (vikashkhanal.in)</dc:creator>
  <cp:keywords/>
  <dc:description>Free template. Last reviewed 6 October 2026. Not legal advice.</dc:description>
  <cp:lastModifiedBy/>
  <cp:revision>1</cp:revision>
  <dcterms:created xsi:type="dcterms:W3CDTF">2013-12-23T23:15:00Z</dcterms:created>
  <dcterms:modified xsi:type="dcterms:W3CDTF">2013-12-23T23:15:00Z</dcterms:modified>
  <cp:category/>
</cp:coreProperties>
</file>